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1D" w:rsidRPr="004E491D" w:rsidRDefault="004E491D" w:rsidP="004E491D">
      <w:pPr>
        <w:spacing w:after="0" w:line="260" w:lineRule="atLeast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 w:rsidRPr="004E491D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4E491D" w:rsidRPr="004E491D" w:rsidRDefault="004E491D" w:rsidP="004E491D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4E491D">
          <w:rPr>
            <w:rFonts w:ascii="Verdana" w:eastAsia="Times New Roman" w:hAnsi="Verdana" w:cs="Arial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4E491D" w:rsidRPr="004E491D" w:rsidRDefault="004E491D" w:rsidP="004E491D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E491D" w:rsidRPr="004E491D" w:rsidRDefault="004E491D" w:rsidP="004E491D">
      <w:pPr>
        <w:spacing w:after="280" w:line="420" w:lineRule="atLeast"/>
        <w:ind w:left="225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Starachowice: Dostaw odczynników bakteriologicznych</w:t>
      </w:r>
      <w:r w:rsidRPr="004E491D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4E491D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Numer ogłoszenia: 43621 - 2013; data zamieszczenia: 22.03.2013</w:t>
      </w:r>
      <w:r w:rsidRPr="004E491D">
        <w:rPr>
          <w:rFonts w:ascii="Arial" w:eastAsia="Times New Roman" w:hAnsi="Arial" w:cs="Arial"/>
          <w:sz w:val="28"/>
          <w:szCs w:val="28"/>
          <w:lang w:eastAsia="pl-PL"/>
        </w:rPr>
        <w:br/>
        <w:t>OGŁOSZENIE O ZAMÓWIENIU - dostawy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Zamieszczanie ogłoszenia: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obowiązkowe.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 dotyczy: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zamówienia publicznego.</w:t>
      </w:r>
    </w:p>
    <w:p w:rsidR="004E491D" w:rsidRPr="004E491D" w:rsidRDefault="004E491D" w:rsidP="004E491D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I: ZAMAWIAJĄCY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I. 1) NAZWA I ADRES: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4E491D" w:rsidRPr="004E491D" w:rsidRDefault="004E491D" w:rsidP="004E491D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Adres strony internetowej zamawiającego: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http://zoz.starachowice.sisco.info/ </w:t>
      </w:r>
    </w:p>
    <w:p w:rsidR="004E491D" w:rsidRPr="004E491D" w:rsidRDefault="004E491D" w:rsidP="004E491D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Adres strony internetowej, pod którym dostępne są informacje dotyczące dynamicznego systemu zakupów: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http://zoz.starachowice.sisco.info/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I. 2) RODZAJ ZAMAWIAJĄCEGO: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Samodzielny publiczny zakład opieki zdrowotnej.</w:t>
      </w:r>
    </w:p>
    <w:p w:rsidR="004E491D" w:rsidRPr="004E491D" w:rsidRDefault="004E491D" w:rsidP="004E491D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II.1) OKREŚLENIE PRZEDMIOTU ZAMÓWIENIA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II.1.1) Nazwa nadana zamówieniu przez zamawiającego: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Dostaw odczynników bakteriologicznych.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II.1.2) Rodzaj zamówienia: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dostawy.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Określenie przedmiotu zamówienia oraz wielkości zawiera załącznik nr 5 do SIWZ ofertowy. Pakiet 1 -Odczynniki, podłoża wg. Procedury mikrobiologicznej dla potrzeb pracowni bakteriologii wraz z dzierżawą systemu automatycznego do identyfikacji i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lekowrażliwości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drobnoustrojów Pakiet 2 - Odczynniki lateksowe i testy do badań bakteriologicznych Pakiet 3 - Kontrola sterylizacji Pakiet 4 -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Serotypowanie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E.coli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Shigella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-Salmonella Pakiet 5 - odczynniki chemiczne Pakiet 6 - krążki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antybiogramowe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II.1.6) Wspólny Słownik Zamówień (CPV):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33.69.65.00-0, 33.69.62.00-7.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II.1.7) Czy dopuszcza się złożenie oferty częściowej: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tak, liczba części: 6.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II.1.8) Czy dopuszcza się złożenie oferty wariantowej: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nie.</w:t>
      </w:r>
    </w:p>
    <w:p w:rsidR="004E491D" w:rsidRPr="004E491D" w:rsidRDefault="004E491D" w:rsidP="004E491D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II.2) CZAS TRWANIA ZAMÓWIENIA LUB TERMIN WYKONANIA: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24.</w:t>
      </w:r>
    </w:p>
    <w:p w:rsidR="004E491D" w:rsidRPr="004E491D" w:rsidRDefault="004E491D" w:rsidP="004E491D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III.1) WADIUM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Informacja na temat wadium: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Zamawiający nie przewiduje wniesienia wadium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III.2) ZALICZKI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4E491D" w:rsidRPr="004E491D" w:rsidRDefault="004E491D" w:rsidP="004E491D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4E491D" w:rsidRPr="004E491D" w:rsidRDefault="004E491D" w:rsidP="004E491D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4E491D" w:rsidRPr="004E491D" w:rsidRDefault="004E491D" w:rsidP="004E491D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>Zamawiający nie określa szczegółowego warunku w tym zakresie</w:t>
      </w:r>
    </w:p>
    <w:p w:rsidR="004E491D" w:rsidRPr="004E491D" w:rsidRDefault="004E491D" w:rsidP="004E491D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III.3.2) Wiedza i doświadczenie</w:t>
      </w:r>
    </w:p>
    <w:p w:rsidR="004E491D" w:rsidRPr="004E491D" w:rsidRDefault="004E491D" w:rsidP="004E491D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4E491D" w:rsidRPr="004E491D" w:rsidRDefault="004E491D" w:rsidP="004E491D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>Przedstawienie wykazu wykonanych dostaw wraz z wartością i referencjami zgodnie z opisem SIWZ, według formuły spełnia - nie spełnia</w:t>
      </w:r>
    </w:p>
    <w:p w:rsidR="004E491D" w:rsidRPr="004E491D" w:rsidRDefault="004E491D" w:rsidP="004E491D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III.3.3) Potencjał techniczny</w:t>
      </w:r>
    </w:p>
    <w:p w:rsidR="004E491D" w:rsidRPr="004E491D" w:rsidRDefault="004E491D" w:rsidP="004E491D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4E491D" w:rsidRPr="004E491D" w:rsidRDefault="004E491D" w:rsidP="004E491D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>Zamawiający nie określa szczegółowego warunku w tym zakresie</w:t>
      </w:r>
    </w:p>
    <w:p w:rsidR="004E491D" w:rsidRPr="004E491D" w:rsidRDefault="004E491D" w:rsidP="004E491D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III.3.4) Osoby zdolne do wykonania zamówienia</w:t>
      </w:r>
    </w:p>
    <w:p w:rsidR="004E491D" w:rsidRPr="004E491D" w:rsidRDefault="004E491D" w:rsidP="004E491D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4E491D" w:rsidRPr="004E491D" w:rsidRDefault="004E491D" w:rsidP="004E491D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>Zamawiający nie określa szczegółowego warunku w tym zakresie</w:t>
      </w:r>
    </w:p>
    <w:p w:rsidR="004E491D" w:rsidRPr="004E491D" w:rsidRDefault="004E491D" w:rsidP="004E491D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III.3.5) Sytuacja ekonomiczna i finansowa</w:t>
      </w:r>
    </w:p>
    <w:p w:rsidR="004E491D" w:rsidRPr="004E491D" w:rsidRDefault="004E491D" w:rsidP="004E491D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4E491D" w:rsidRPr="004E491D" w:rsidRDefault="004E491D" w:rsidP="004E491D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>Zamawiający określa szczegółowe warunki w tym zakresie: przedstawienie informacji o posiadanych środkach finansowych oraz posiadaniu aktualnej polisy od odpowiedzialności cywilnej zgodnie z opisem SIWZ według formuły spełnia - nie spełnia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III.4.1) W zakresie wykazania spełniania przez wykonawcę warunków, o których mowa w art. 22 ust. 1 ustawy, oprócz oświadczenia o spełnianiu warunków udziału w postępowaniu należy przedłożyć:</w:t>
      </w:r>
    </w:p>
    <w:p w:rsidR="004E491D" w:rsidRPr="004E491D" w:rsidRDefault="004E491D" w:rsidP="004E491D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potwierdzenie posiadania uprawnień do wykonywania określonej działalności lub czynności, jeżeli przepisy prawa nakładają obowiązek ich posiadania, w szczególności koncesje, zezwolenia lub licencje; </w:t>
      </w:r>
    </w:p>
    <w:p w:rsidR="004E491D" w:rsidRPr="004E491D" w:rsidRDefault="004E491D" w:rsidP="004E491D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 </w:t>
      </w:r>
    </w:p>
    <w:p w:rsidR="004E491D" w:rsidRPr="004E491D" w:rsidRDefault="004E491D" w:rsidP="004E491D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 </w:t>
      </w:r>
    </w:p>
    <w:p w:rsidR="004E491D" w:rsidRPr="004E491D" w:rsidRDefault="004E491D" w:rsidP="004E491D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opłaconą polisę, a w przypadku jej braku, inny dokument potwierdzający, że wykonawca jest ubezpieczony od odpowiedzialności cywilnej w zakresie prowadzonej działalności związanej z przedmiotem zamówienia. 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4E491D" w:rsidRPr="004E491D" w:rsidRDefault="004E491D" w:rsidP="004E491D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 </w:t>
      </w:r>
    </w:p>
    <w:p w:rsidR="004E491D" w:rsidRPr="004E491D" w:rsidRDefault="004E491D" w:rsidP="004E491D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opłaconą polisę, a w przypadku jej braku, inny dokument potwierdzający, że inny podmiot jest ubezpieczony od odpowiedzialności cywilnej w zakresie prowadzonej działalności związanej z przedmiotem zamówienia; 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III.4.2) W zakresie potwierdzenia niepodlegania wykluczeniu na podstawie art. 24 ust. 1 ustawy, należy przedłożyć:</w:t>
      </w:r>
    </w:p>
    <w:p w:rsidR="004E491D" w:rsidRPr="004E491D" w:rsidRDefault="004E491D" w:rsidP="004E491D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oświadczenie o braku podstaw do wykluczenia; </w:t>
      </w:r>
    </w:p>
    <w:p w:rsidR="004E491D" w:rsidRPr="004E491D" w:rsidRDefault="004E491D" w:rsidP="004E491D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 </w:t>
      </w:r>
    </w:p>
    <w:p w:rsidR="004E491D" w:rsidRPr="004E491D" w:rsidRDefault="004E491D" w:rsidP="004E491D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 </w:t>
      </w:r>
    </w:p>
    <w:p w:rsidR="004E491D" w:rsidRPr="004E491D" w:rsidRDefault="004E491D" w:rsidP="004E491D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 </w:t>
      </w:r>
    </w:p>
    <w:p w:rsidR="004E491D" w:rsidRPr="004E491D" w:rsidRDefault="004E491D" w:rsidP="004E491D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 </w:t>
      </w:r>
    </w:p>
    <w:p w:rsidR="004E491D" w:rsidRPr="004E491D" w:rsidRDefault="004E491D" w:rsidP="004E491D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 </w:t>
      </w:r>
    </w:p>
    <w:p w:rsidR="004E491D" w:rsidRPr="004E491D" w:rsidRDefault="004E491D" w:rsidP="004E491D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aktualną informację z Krajowego Rejestru Karnego w zakresie określonym w art. 24 ust. 1 pkt 10 i 11 ustawy, wystawioną nie wcześniej niż 6 miesięcy przed upływem terminu 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składania wniosków o dopuszczenie do udziału w postępowaniu o udzielenie zamówienia albo składania ofert; </w:t>
      </w:r>
    </w:p>
    <w:p w:rsidR="004E491D" w:rsidRPr="004E491D" w:rsidRDefault="004E491D" w:rsidP="004E491D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 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III.4.3) Dokumenty podmiotów zagranicznych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4E491D" w:rsidRPr="004E491D" w:rsidRDefault="004E491D" w:rsidP="004E491D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nie otwarto jego likwidacji ani nie ogłoszono upadłości - wystawiony nie wcześniej niż 6 miesięcy przed upływem terminu składania wniosków o dopuszczenie do udziału w postępowaniu o udzielenie zamówienia albo składania ofert; </w:t>
      </w:r>
    </w:p>
    <w:p w:rsidR="004E491D" w:rsidRPr="004E491D" w:rsidRDefault="004E491D" w:rsidP="004E491D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 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III.4.3.2)</w:t>
      </w:r>
    </w:p>
    <w:p w:rsidR="004E491D" w:rsidRPr="004E491D" w:rsidRDefault="004E491D" w:rsidP="004E491D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 </w:t>
      </w:r>
    </w:p>
    <w:p w:rsidR="004E491D" w:rsidRPr="004E491D" w:rsidRDefault="004E491D" w:rsidP="004E491D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 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III.4.4) Dokumenty dotyczące przynależności do tej samej grupy kapitałowej</w:t>
      </w:r>
    </w:p>
    <w:p w:rsidR="004E491D" w:rsidRPr="004E491D" w:rsidRDefault="004E491D" w:rsidP="004E491D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lista podmiotów należących do tej samej grupy kapitałowej w rozumieniu ustawy z dnia 16 lutego 2007 r. o ochronie konkurencji i konsumentów albo informacji o tym, że nie należy do grupy kapitałowej; </w:t>
      </w:r>
    </w:p>
    <w:p w:rsidR="004E491D" w:rsidRPr="004E491D" w:rsidRDefault="004E491D" w:rsidP="004E491D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4E491D" w:rsidRPr="004E491D" w:rsidRDefault="004E491D" w:rsidP="004E491D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próbki, opisy lub fotografie produktów, które mają zostać dostarczone, których autentyczność musi zostać poświadczona przez wykonawcę na żądanie zamawiającego; </w:t>
      </w:r>
    </w:p>
    <w:p w:rsidR="004E491D" w:rsidRPr="004E491D" w:rsidRDefault="004E491D" w:rsidP="004E491D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zaświadczenie niezależnego podmiotu uprawnionego do kontroli jakości potwierdzającego, że dostarczane produkty odpowiadają określonym normom lub specyfikacjom technicznym; </w:t>
      </w:r>
    </w:p>
    <w:p w:rsidR="004E491D" w:rsidRPr="004E491D" w:rsidRDefault="004E491D" w:rsidP="004E491D">
      <w:pPr>
        <w:numPr>
          <w:ilvl w:val="0"/>
          <w:numId w:val="9"/>
        </w:numPr>
        <w:spacing w:after="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>inne dokumenty</w:t>
      </w:r>
    </w:p>
    <w:p w:rsidR="004E491D" w:rsidRPr="004E491D" w:rsidRDefault="004E491D" w:rsidP="004E491D">
      <w:pPr>
        <w:spacing w:after="0" w:line="400" w:lineRule="atLeast"/>
        <w:ind w:left="720"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Certyfikaty lub deklaracje zgodności lub atesty dopuszczające wyroby do użytku, spełnienie wymagań(szczegóły w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zał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nr 5 do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siwz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); zaoferowane wyroby muszą być dopuszczone do obrotu zgodnie z obowiązującymi przepisami. Karty charakterystyki oceny substancji niebezpiecznej w j. polskim wydane przez producenta oferowanego wyrobu lub jeżeli wyrób nie jest zakwalifikowany jako niebezpieczny (zgodnie z ustawą o substancjach i preparatach chemicznych) opisy, zdjęcia katalogowe wyrobów. Ulotki (Ew. karty charakterystyki) informujące o nazwie produktu, nazwie i adresie wytwórcy, przeznaczeniu, właściwościach produktu (potwierdzający wymagania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siwz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zał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nr 5),</w:t>
      </w:r>
    </w:p>
    <w:p w:rsidR="004E491D" w:rsidRPr="004E491D" w:rsidRDefault="004E491D" w:rsidP="004E491D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IV: PROCEDURA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IV.1) TRYB UDZIELENIA ZAMÓWIENIA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IV.1.1) Tryb udzielenia zamówienia: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przetarg nieograniczony.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IV.2) KRYTERIA OCENY OFERT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IV.2.1) Kryteria oceny ofert: 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>najniższa cena.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IV.4) INFORMACJE ADMINISTRACYJNE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IV.4.1)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http://zoz.starachowice.sisco.info/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Powiatowy Zakład Opieki Zdrowotnej z siedzibą w Starachowicach, ul. Radomska 70, 27-200 Starachowice, Dział Zamówień Publicznych i Zaopatrzenia, pok. nr 218.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05.04.2013 godzina 11:00, miejsce: Powiatowy Zakład Opieki Zdrowotnej z siedzibą w Starachowicach, ul. Radomska 70, 27-200 Starachowice, Sekretariat pok. 222.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IV.4.5) Termin związania ofertą: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okres w dniach: 30 (od ostatecznego terminu składania ofert).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>nie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4E491D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ZAŁĄCZNIK I - INFORMACJE DOTYCZĄCE OFERT CZĘŚCIOWYCH</w:t>
      </w: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1 </w:t>
      </w: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Odczynniki, podłoża wg. Procedury mikrobiologicznej dla potrzeb pracowni bakteriologii wraz z dzierżawą systemu automatycznego do identyfikacji i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lekowrażliwości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drobnoustrojów.</w:t>
      </w:r>
    </w:p>
    <w:p w:rsidR="004E491D" w:rsidRPr="004E491D" w:rsidRDefault="004E491D" w:rsidP="004E491D">
      <w:pPr>
        <w:numPr>
          <w:ilvl w:val="0"/>
          <w:numId w:val="10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Identyfikacja pałeczek G(-) fermentujących i niefermentujących, Antybiogram dla pałeczek G(-) fermentujących i niefermentujących, Identyfikacja ziarniaków G(+), Identyfikacja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Neisseria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Haemophilus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, Identyfikacja i antybiogram dla bakterii beztlenowych, Identyfikacja i antybiogram dla grzybów drożdżopodobnych, Inne podłoża, E-testy - paski z gradientem stężeń do oznaczania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lekowrażliwości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drobnoustrojów.</w:t>
      </w:r>
    </w:p>
    <w:p w:rsidR="004E491D" w:rsidRPr="004E491D" w:rsidRDefault="004E491D" w:rsidP="004E491D">
      <w:pPr>
        <w:numPr>
          <w:ilvl w:val="0"/>
          <w:numId w:val="10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33.69.65.00-0.</w:t>
      </w:r>
    </w:p>
    <w:p w:rsidR="004E491D" w:rsidRPr="004E491D" w:rsidRDefault="004E491D" w:rsidP="004E491D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24. </w:t>
      </w:r>
    </w:p>
    <w:p w:rsidR="004E491D" w:rsidRPr="004E491D" w:rsidRDefault="004E491D" w:rsidP="004E491D">
      <w:pPr>
        <w:numPr>
          <w:ilvl w:val="0"/>
          <w:numId w:val="10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4E491D" w:rsidRPr="004E491D" w:rsidRDefault="004E491D" w:rsidP="004E491D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2 </w:t>
      </w: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Odczynniki lateksowe i testy do badań bakteriologicznych.</w:t>
      </w:r>
    </w:p>
    <w:p w:rsidR="004E491D" w:rsidRPr="004E491D" w:rsidRDefault="004E491D" w:rsidP="004E491D">
      <w:pPr>
        <w:numPr>
          <w:ilvl w:val="0"/>
          <w:numId w:val="11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Test lateksowy do wykrywania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Streptococcus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pneumoniae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Test lateksowy do wykrywania paciorkowców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gr.ABCDFG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Zestaw lateksowy do oznaczania antygenów w płynie mózgowo rdzeniowym Test do wykrywania czynnika CF u gronkowca złocistego Odczynnik lateksowy do wykrywania paciorkowców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gr.B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wraz z enzymem ekstrakcyjnym test na oksydazę plazma królicza liofilizowana Odczynnik do oznaczania katalazy pojemniki do hodowli bakterii beztlenowych 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2,5 l Saszetki do wytwarzania środowiska beztlenowego do pojemników 2,5 l Saszetki do wytwarzania środowiska beztlenowego wraz z torebkami Zaciski do torebek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wskażnik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atmosfery beztlenowej Saszetki do wytwarzania środowiska z niską zawartością CO2 5-10%.</w:t>
      </w:r>
    </w:p>
    <w:p w:rsidR="004E491D" w:rsidRPr="004E491D" w:rsidRDefault="004E491D" w:rsidP="004E491D">
      <w:pPr>
        <w:numPr>
          <w:ilvl w:val="0"/>
          <w:numId w:val="11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33.69.65.00-0.</w:t>
      </w:r>
    </w:p>
    <w:p w:rsidR="004E491D" w:rsidRPr="004E491D" w:rsidRDefault="004E491D" w:rsidP="004E491D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24. </w:t>
      </w:r>
    </w:p>
    <w:p w:rsidR="004E491D" w:rsidRPr="004E491D" w:rsidRDefault="004E491D" w:rsidP="004E491D">
      <w:pPr>
        <w:numPr>
          <w:ilvl w:val="0"/>
          <w:numId w:val="11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4E491D" w:rsidRPr="004E491D" w:rsidRDefault="004E491D" w:rsidP="004E491D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3 </w:t>
      </w: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Kontrola sterylizacji.</w:t>
      </w:r>
    </w:p>
    <w:p w:rsidR="004E491D" w:rsidRPr="004E491D" w:rsidRDefault="004E491D" w:rsidP="004E491D">
      <w:pPr>
        <w:numPr>
          <w:ilvl w:val="0"/>
          <w:numId w:val="1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Sporal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A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Sporal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S Rurki Browna Wieloparametrowy wskaźnik chemiczny do pary wodnej.</w:t>
      </w:r>
    </w:p>
    <w:p w:rsidR="004E491D" w:rsidRPr="004E491D" w:rsidRDefault="004E491D" w:rsidP="004E491D">
      <w:pPr>
        <w:numPr>
          <w:ilvl w:val="0"/>
          <w:numId w:val="1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33.69.65.00-0.</w:t>
      </w:r>
    </w:p>
    <w:p w:rsidR="004E491D" w:rsidRPr="004E491D" w:rsidRDefault="004E491D" w:rsidP="004E491D">
      <w:pPr>
        <w:numPr>
          <w:ilvl w:val="0"/>
          <w:numId w:val="1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24. </w:t>
      </w:r>
    </w:p>
    <w:p w:rsidR="004E491D" w:rsidRPr="004E491D" w:rsidRDefault="004E491D" w:rsidP="004E491D">
      <w:pPr>
        <w:numPr>
          <w:ilvl w:val="0"/>
          <w:numId w:val="1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4E491D" w:rsidRPr="004E491D" w:rsidRDefault="004E491D" w:rsidP="004E491D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4 </w:t>
      </w: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Serotypowanie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E.coli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Shigella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>/Salmonella.</w:t>
      </w:r>
    </w:p>
    <w:p w:rsidR="004E491D" w:rsidRPr="004E491D" w:rsidRDefault="004E491D" w:rsidP="004E491D">
      <w:pPr>
        <w:numPr>
          <w:ilvl w:val="0"/>
          <w:numId w:val="1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zestaw lateksowy do wykrywania i identyfikacji EPEC zestaw lateksowy do wykrywania i identyfikacji grupowych antygenów Salmonella odczynnik lateksowy do wykrywania i identyfikacji grupowych antygenów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Shigella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sonnei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odczynnik lateksowy do wykrywania i identyfikacji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E.coli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O157.</w:t>
      </w:r>
    </w:p>
    <w:p w:rsidR="004E491D" w:rsidRPr="004E491D" w:rsidRDefault="004E491D" w:rsidP="004E491D">
      <w:pPr>
        <w:numPr>
          <w:ilvl w:val="0"/>
          <w:numId w:val="1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33.69.62.00-7.</w:t>
      </w:r>
    </w:p>
    <w:p w:rsidR="004E491D" w:rsidRPr="004E491D" w:rsidRDefault="004E491D" w:rsidP="004E491D">
      <w:pPr>
        <w:numPr>
          <w:ilvl w:val="0"/>
          <w:numId w:val="13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24. </w:t>
      </w:r>
    </w:p>
    <w:p w:rsidR="004E491D" w:rsidRPr="004E491D" w:rsidRDefault="004E491D" w:rsidP="004E491D">
      <w:pPr>
        <w:numPr>
          <w:ilvl w:val="0"/>
          <w:numId w:val="1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4E491D" w:rsidRPr="004E491D" w:rsidRDefault="004E491D" w:rsidP="004E491D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5 </w:t>
      </w: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odczynniki chemiczne.</w:t>
      </w:r>
    </w:p>
    <w:p w:rsidR="004E491D" w:rsidRPr="004E491D" w:rsidRDefault="004E491D" w:rsidP="004E491D">
      <w:pPr>
        <w:numPr>
          <w:ilvl w:val="0"/>
          <w:numId w:val="14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EDTA 0,5M do oznaczania MBL Kwas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fenyloboronowy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do oznaczania KPC KOH 20% lub10%.</w:t>
      </w:r>
    </w:p>
    <w:p w:rsidR="004E491D" w:rsidRPr="004E491D" w:rsidRDefault="004E491D" w:rsidP="004E491D">
      <w:pPr>
        <w:numPr>
          <w:ilvl w:val="0"/>
          <w:numId w:val="14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33.69.65.00-0.</w:t>
      </w:r>
    </w:p>
    <w:p w:rsidR="004E491D" w:rsidRPr="004E491D" w:rsidRDefault="004E491D" w:rsidP="004E491D">
      <w:pPr>
        <w:numPr>
          <w:ilvl w:val="0"/>
          <w:numId w:val="14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24. </w:t>
      </w:r>
    </w:p>
    <w:p w:rsidR="004E491D" w:rsidRPr="004E491D" w:rsidRDefault="004E491D" w:rsidP="004E491D">
      <w:pPr>
        <w:numPr>
          <w:ilvl w:val="0"/>
          <w:numId w:val="14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4E491D" w:rsidRPr="004E491D" w:rsidRDefault="004E491D" w:rsidP="004E491D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E491D" w:rsidRPr="004E491D" w:rsidRDefault="004E491D" w:rsidP="004E491D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6 </w:t>
      </w: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Krążki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antybiogramowe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E491D" w:rsidRPr="004E491D" w:rsidRDefault="004E491D" w:rsidP="004E491D">
      <w:pPr>
        <w:numPr>
          <w:ilvl w:val="0"/>
          <w:numId w:val="15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Amikacyna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30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Amoksycylina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/kwas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klawulanowy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20/10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Ampicylina 2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Ampicylina/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sulbactam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10/10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Aztreonam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30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Azytromycyna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15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Karbenicylina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100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Klarytromycyna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15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Cefalotyna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30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Cefazolin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30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Cefepim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30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Cefoksytyna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30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cefotaksym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5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Cefotaksym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/kwas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klawulanowy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30/10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Ceftazydym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10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Ceftriakson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30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Cefuroksym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30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Chloramfenikol 30ug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Ciprofloksacyna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5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Doksycyklina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30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Erytromycyna 15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Gentamycyna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10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Gentamycyna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30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Imipenem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10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Klindamycyna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2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Kwas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fusydowy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10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Nowobiocyna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Meropenem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10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Mupirocin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200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Mezlocylina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75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Nitrofurantoina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100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netylmycyna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10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Norfloksacyna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10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fenoksymetylopenicylina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10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Penicylina benzylowa 10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jedn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Piperacylina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30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Piperacylina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tazobaktam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30/6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Rifampicyna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5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Trimetoprim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sulfametoksazol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1,25/23,75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Tetracyklina 30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Tikarcylina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75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Tikarcylina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/kwas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klawulanowy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85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Tobramycyna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10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Teicoplanina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30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Wankomycyna 5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Streptomycyna 300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Linezolid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10ug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Moxifloksacyna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5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Oxacylina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1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Ertapenem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10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cefoperazon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cefoperazon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sulbactam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ofloxacyna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5 kwas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naliksydowy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30g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piperacylina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100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Piperacylina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tazobaktam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100/10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lewofloksacyna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5ug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Fosfomycyna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200ug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chinupristyna-dalfopristyna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15ug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cefpodoksym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10ug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ceftazydym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+ kw. klawulanowy30/10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Cefaleksyna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30ug Ampicylina 10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Cefaklor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30ug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Cefotaksym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30ug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Ceftazydym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30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ug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Penicylina benzylowa 1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jedn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Metronidazol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pefloxacin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5ug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Doripenem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10ug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Temocylina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Krążki z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optochiną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do identyfikacji Str.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Pneumoniae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Krążki z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cefinazą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(wytwarzanie beta-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laktamazy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) Szczep wzorcowy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E.coli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25922 Szczep wzorcowy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Haemophilus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influenzae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NCTC 8468 Szczep wzorcowy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St.aureus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29213 Szczep wzorcowy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Enterococcus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faecalis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29212 Szczep wzorcowy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Streptococcus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pneumoniae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49619 szczep wzorcowy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Pseudomonas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aeruginosa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ATCC 27853 Krążki bibułowe do identyfikacji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Enterococcus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EF Krążki do identyfikacji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gat.Haemophilus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BV Krążki do identyfikacji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Haemophilus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BX Krążki do identyfikacji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Haemophilus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BVX Krążki do identyfikacji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Moraxella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- BC Krążki </w:t>
      </w:r>
      <w:proofErr w:type="spellStart"/>
      <w:r w:rsidRPr="004E491D">
        <w:rPr>
          <w:rFonts w:ascii="Arial" w:eastAsia="Times New Roman" w:hAnsi="Arial" w:cs="Arial"/>
          <w:sz w:val="20"/>
          <w:szCs w:val="20"/>
          <w:lang w:eastAsia="pl-PL"/>
        </w:rPr>
        <w:t>antybiogramowe</w:t>
      </w:r>
      <w:proofErr w:type="spellEnd"/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bez antybiotyku.</w:t>
      </w:r>
    </w:p>
    <w:p w:rsidR="004E491D" w:rsidRPr="004E491D" w:rsidRDefault="004E491D" w:rsidP="004E491D">
      <w:pPr>
        <w:numPr>
          <w:ilvl w:val="0"/>
          <w:numId w:val="15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33.69.62.00-7.</w:t>
      </w:r>
    </w:p>
    <w:p w:rsidR="004E491D" w:rsidRPr="004E491D" w:rsidRDefault="004E491D" w:rsidP="004E491D">
      <w:pPr>
        <w:numPr>
          <w:ilvl w:val="0"/>
          <w:numId w:val="15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24. </w:t>
      </w:r>
    </w:p>
    <w:p w:rsidR="004E491D" w:rsidRPr="004E491D" w:rsidRDefault="004E491D" w:rsidP="004E491D">
      <w:pPr>
        <w:numPr>
          <w:ilvl w:val="0"/>
          <w:numId w:val="15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4E49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4E491D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4E491D" w:rsidRPr="004E491D" w:rsidRDefault="004E491D" w:rsidP="004E491D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E491D" w:rsidRPr="004E491D" w:rsidRDefault="004E491D" w:rsidP="004E491D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CFC" w:rsidRDefault="008D3CFC">
      <w:bookmarkStart w:id="0" w:name="_GoBack"/>
      <w:bookmarkEnd w:id="0"/>
    </w:p>
    <w:sectPr w:rsidR="008D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361"/>
    <w:multiLevelType w:val="multilevel"/>
    <w:tmpl w:val="1804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301C7F"/>
    <w:multiLevelType w:val="multilevel"/>
    <w:tmpl w:val="E4C8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FA288A"/>
    <w:multiLevelType w:val="multilevel"/>
    <w:tmpl w:val="BDFA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EE2C24"/>
    <w:multiLevelType w:val="multilevel"/>
    <w:tmpl w:val="1660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05751E"/>
    <w:multiLevelType w:val="multilevel"/>
    <w:tmpl w:val="8B1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C962DB"/>
    <w:multiLevelType w:val="multilevel"/>
    <w:tmpl w:val="753C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AFF2991"/>
    <w:multiLevelType w:val="multilevel"/>
    <w:tmpl w:val="A26E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B6B9D"/>
    <w:multiLevelType w:val="multilevel"/>
    <w:tmpl w:val="49A6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3C6420"/>
    <w:multiLevelType w:val="multilevel"/>
    <w:tmpl w:val="F72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6B4BBC"/>
    <w:multiLevelType w:val="multilevel"/>
    <w:tmpl w:val="7B3A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C63025B"/>
    <w:multiLevelType w:val="multilevel"/>
    <w:tmpl w:val="0284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4D7BE3"/>
    <w:multiLevelType w:val="multilevel"/>
    <w:tmpl w:val="FA1A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9F2283"/>
    <w:multiLevelType w:val="multilevel"/>
    <w:tmpl w:val="8856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F90BCF"/>
    <w:multiLevelType w:val="multilevel"/>
    <w:tmpl w:val="818A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F8C0BD8"/>
    <w:multiLevelType w:val="multilevel"/>
    <w:tmpl w:val="1222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3"/>
  </w:num>
  <w:num w:numId="5">
    <w:abstractNumId w:val="5"/>
  </w:num>
  <w:num w:numId="6">
    <w:abstractNumId w:val="14"/>
  </w:num>
  <w:num w:numId="7">
    <w:abstractNumId w:val="4"/>
  </w:num>
  <w:num w:numId="8">
    <w:abstractNumId w:val="3"/>
  </w:num>
  <w:num w:numId="9">
    <w:abstractNumId w:val="0"/>
  </w:num>
  <w:num w:numId="10">
    <w:abstractNumId w:val="7"/>
  </w:num>
  <w:num w:numId="11">
    <w:abstractNumId w:val="8"/>
  </w:num>
  <w:num w:numId="12">
    <w:abstractNumId w:val="1"/>
  </w:num>
  <w:num w:numId="13">
    <w:abstractNumId w:val="6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1D"/>
    <w:rsid w:val="004E491D"/>
    <w:rsid w:val="008D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E491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E491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E491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E491D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4E491D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4E491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4E491D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E491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E491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E491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E491D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4E491D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4E491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4E491D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0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2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2631</Words>
  <Characters>15787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2013-03-22T11:48:00Z</dcterms:created>
  <dcterms:modified xsi:type="dcterms:W3CDTF">2013-03-22T11:49:00Z</dcterms:modified>
</cp:coreProperties>
</file>