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02" w:rsidRDefault="005E4C02" w:rsidP="005E4C02">
      <w:pPr>
        <w:rPr>
          <w:lang w:val="pl-PL"/>
        </w:rPr>
      </w:pPr>
    </w:p>
    <w:p w:rsidR="005E4C02" w:rsidRPr="00D52CF8" w:rsidRDefault="005E4C02" w:rsidP="005E4C02">
      <w:pPr>
        <w:rPr>
          <w:lang w:val="pl-PL"/>
        </w:rPr>
      </w:pPr>
    </w:p>
    <w:p w:rsidR="005E4C02" w:rsidRPr="00782891" w:rsidRDefault="005E4C02" w:rsidP="005E4C02">
      <w:pPr>
        <w:rPr>
          <w:rFonts w:ascii="Arial" w:hAnsi="Arial" w:cs="Arial"/>
          <w:sz w:val="20"/>
          <w:lang w:val="pl-PL"/>
        </w:rPr>
      </w:pPr>
      <w:r w:rsidRPr="00782891">
        <w:rPr>
          <w:rFonts w:ascii="Arial" w:hAnsi="Arial" w:cs="Arial"/>
          <w:sz w:val="20"/>
          <w:lang w:val="pl-PL"/>
        </w:rPr>
        <w:t xml:space="preserve">l.dz. </w:t>
      </w:r>
      <w:r w:rsidRPr="00262DCC">
        <w:rPr>
          <w:rFonts w:ascii="Arial" w:hAnsi="Arial" w:cs="Arial"/>
          <w:sz w:val="20"/>
          <w:lang w:val="pl-PL"/>
        </w:rPr>
        <w:t>P/16/03/2014/DEZ</w:t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  <w:r>
        <w:rPr>
          <w:rFonts w:ascii="Arial" w:hAnsi="Arial" w:cs="Arial"/>
          <w:sz w:val="20"/>
          <w:lang w:val="pl-PL"/>
        </w:rPr>
        <w:t xml:space="preserve">                                </w:t>
      </w:r>
      <w:r>
        <w:rPr>
          <w:rFonts w:ascii="Arial" w:hAnsi="Arial" w:cs="Arial"/>
          <w:sz w:val="20"/>
          <w:lang w:val="pl-PL"/>
        </w:rPr>
        <w:tab/>
        <w:t>Starachowice 26.05.</w:t>
      </w:r>
      <w:r w:rsidRPr="00782891">
        <w:rPr>
          <w:rFonts w:ascii="Arial" w:hAnsi="Arial" w:cs="Arial"/>
          <w:sz w:val="20"/>
          <w:lang w:val="pl-PL"/>
        </w:rPr>
        <w:t xml:space="preserve"> 2014r.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5E4C02" w:rsidRPr="00782891" w:rsidRDefault="005E4C02" w:rsidP="005E4C02">
      <w:pPr>
        <w:rPr>
          <w:rFonts w:ascii="Arial" w:hAnsi="Arial" w:cs="Arial"/>
          <w:sz w:val="20"/>
          <w:lang w:val="pl-PL"/>
        </w:rPr>
      </w:pPr>
    </w:p>
    <w:p w:rsidR="005E4C02" w:rsidRDefault="005E4C02" w:rsidP="005E4C02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</w:p>
    <w:p w:rsidR="005E4C02" w:rsidRDefault="005E4C02" w:rsidP="005E4C02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</w:p>
    <w:p w:rsidR="005E4C02" w:rsidRPr="00D878CD" w:rsidRDefault="005E4C02" w:rsidP="005E4C02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</w:p>
    <w:p w:rsidR="005E4C02" w:rsidRDefault="005E4C02" w:rsidP="005E4C02">
      <w:pPr>
        <w:ind w:firstLine="5387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5E4C02" w:rsidRDefault="005E4C02" w:rsidP="005E4C02">
      <w:pPr>
        <w:ind w:firstLine="5387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Nr ogłoszenia </w:t>
      </w:r>
      <w:r w:rsidRPr="00FC0D2B">
        <w:rPr>
          <w:rFonts w:ascii="Arial" w:hAnsi="Arial" w:cs="Arial"/>
          <w:sz w:val="22"/>
          <w:szCs w:val="22"/>
          <w:lang w:val="pl-PL"/>
        </w:rPr>
        <w:t>96274 – 2014</w:t>
      </w:r>
    </w:p>
    <w:p w:rsidR="005E4C02" w:rsidRDefault="005E4C02" w:rsidP="005E4C02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</w:p>
    <w:p w:rsidR="005E4C02" w:rsidRPr="004B4F3D" w:rsidRDefault="005E4C02" w:rsidP="005E4C02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</w:p>
    <w:p w:rsidR="005E4C02" w:rsidRDefault="005E4C02" w:rsidP="005E4C02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5E4C02" w:rsidRDefault="005E4C02" w:rsidP="005E4C02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zakresie pakietu nr 6 </w:t>
      </w:r>
    </w:p>
    <w:p w:rsidR="005E4C02" w:rsidRDefault="005E4C02" w:rsidP="005E4C02">
      <w:pPr>
        <w:rPr>
          <w:rFonts w:ascii="Arial" w:hAnsi="Arial" w:cs="Arial"/>
          <w:sz w:val="20"/>
          <w:lang w:val="pl-PL"/>
        </w:rPr>
      </w:pPr>
    </w:p>
    <w:p w:rsidR="005E4C02" w:rsidRDefault="005E4C02" w:rsidP="005E4C02">
      <w:pPr>
        <w:autoSpaceDE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 xml:space="preserve">dotyczy: postępowania </w:t>
      </w:r>
      <w:r>
        <w:rPr>
          <w:rFonts w:ascii="Arial" w:hAnsi="Arial" w:cs="Arial"/>
          <w:sz w:val="20"/>
          <w:lang w:val="pl-PL"/>
        </w:rPr>
        <w:t>Dostawa środków dezynfekcyjnych dla Powiatowego Zakładu Opieki  Zdrowotnej z siedzibą w Starachowicach”” nr sprawy P/16/03/2014/DEZ</w:t>
      </w:r>
      <w:r>
        <w:rPr>
          <w:rFonts w:ascii="Arial" w:hAnsi="Arial" w:cs="Arial"/>
          <w:sz w:val="20"/>
          <w:lang w:val="pl-PL"/>
        </w:rPr>
        <w:tab/>
      </w:r>
    </w:p>
    <w:p w:rsidR="005E4C02" w:rsidRDefault="005E4C02" w:rsidP="005E4C0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5E4C02" w:rsidRDefault="005E4C02" w:rsidP="005E4C02">
      <w:pPr>
        <w:rPr>
          <w:rFonts w:ascii="Arial" w:hAnsi="Arial" w:cs="Arial"/>
          <w:sz w:val="20"/>
          <w:lang w:val="pl-PL"/>
        </w:rPr>
      </w:pPr>
    </w:p>
    <w:p w:rsidR="005E4C02" w:rsidRDefault="005E4C02" w:rsidP="005E4C02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5E4C02" w:rsidRDefault="005E4C02" w:rsidP="005E4C0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6</w:t>
      </w:r>
    </w:p>
    <w:p w:rsidR="005E4C02" w:rsidRPr="00D334E9" w:rsidRDefault="005E4C02" w:rsidP="005E4C02">
      <w:pPr>
        <w:rPr>
          <w:rFonts w:ascii="Arial" w:hAnsi="Arial" w:cs="Arial"/>
          <w:sz w:val="20"/>
          <w:lang w:val="pl-PL"/>
        </w:rPr>
      </w:pPr>
      <w:r w:rsidRPr="00D334E9">
        <w:rPr>
          <w:rFonts w:ascii="Arial" w:hAnsi="Arial" w:cs="Arial"/>
          <w:sz w:val="20"/>
          <w:lang w:val="pl-PL"/>
        </w:rPr>
        <w:t>Oferta nr 5 Schulke Polska sp. z o.o. ul. Rydygiera 8; 01-793 Warszawa w cenie 12 788,92 zł</w:t>
      </w:r>
    </w:p>
    <w:p w:rsidR="005E4C02" w:rsidRDefault="005E4C02" w:rsidP="005E4C02">
      <w:pPr>
        <w:rPr>
          <w:rFonts w:ascii="Arial" w:hAnsi="Arial" w:cs="Arial"/>
          <w:sz w:val="20"/>
          <w:lang w:val="pl-PL"/>
        </w:rPr>
      </w:pPr>
      <w:r w:rsidRPr="00D334E9">
        <w:rPr>
          <w:rFonts w:ascii="Arial" w:hAnsi="Arial" w:cs="Arial"/>
          <w:sz w:val="20"/>
          <w:lang w:val="pl-PL"/>
        </w:rPr>
        <w:t>w związku z powyższym wzorem oferta otrzymuje -  100,0pkt.</w:t>
      </w:r>
    </w:p>
    <w:p w:rsidR="005E4C02" w:rsidRDefault="005E4C02" w:rsidP="005E4C0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5E4C02" w:rsidRDefault="005E4C02" w:rsidP="005E4C02">
      <w:pPr>
        <w:rPr>
          <w:rFonts w:ascii="Arial" w:hAnsi="Arial" w:cs="Arial"/>
          <w:sz w:val="20"/>
          <w:lang w:val="pl-PL"/>
        </w:rPr>
      </w:pPr>
      <w:r w:rsidRPr="00D334E9">
        <w:rPr>
          <w:rFonts w:ascii="Arial" w:hAnsi="Arial" w:cs="Arial"/>
          <w:sz w:val="20"/>
          <w:lang w:val="pl-PL"/>
        </w:rPr>
        <w:t>Oferta nr 1 Aesculap Chifa  sp. z o.o. ul. Tysiąclecia 14 64-300 Nowy Tomyśl</w:t>
      </w:r>
      <w:r>
        <w:rPr>
          <w:rFonts w:ascii="Arial" w:hAnsi="Arial" w:cs="Arial"/>
          <w:sz w:val="20"/>
          <w:lang w:val="pl-PL"/>
        </w:rPr>
        <w:t xml:space="preserve"> </w:t>
      </w:r>
      <w:r w:rsidRPr="00D334E9">
        <w:rPr>
          <w:rFonts w:ascii="Arial" w:hAnsi="Arial" w:cs="Arial"/>
          <w:sz w:val="20"/>
          <w:lang w:val="pl-PL"/>
        </w:rPr>
        <w:t xml:space="preserve"> cena 15 033,60 zł  oferta otrzymuje -  85,07pkt.</w:t>
      </w:r>
    </w:p>
    <w:p w:rsidR="005E4C02" w:rsidRDefault="005E4C02" w:rsidP="005E4C0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jednocześnie zawiadamia:</w:t>
      </w:r>
    </w:p>
    <w:p w:rsidR="005E4C02" w:rsidRDefault="005E4C02" w:rsidP="005E4C0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Zamawiający odrzuca ofertę nr 6 </w:t>
      </w:r>
      <w:r w:rsidR="00FD0E74">
        <w:rPr>
          <w:rFonts w:ascii="Arial" w:hAnsi="Arial" w:cs="Arial"/>
          <w:sz w:val="20"/>
          <w:lang w:val="pl-PL"/>
        </w:rPr>
        <w:t xml:space="preserve">firmy </w:t>
      </w:r>
      <w:r w:rsidRPr="00D334E9">
        <w:rPr>
          <w:rFonts w:ascii="Arial" w:hAnsi="Arial" w:cs="Arial"/>
          <w:sz w:val="20"/>
          <w:lang w:val="pl-PL"/>
        </w:rPr>
        <w:t>Medim sp. z o.o. ul. Puławska 45B</w:t>
      </w:r>
      <w:r>
        <w:rPr>
          <w:rFonts w:ascii="Arial" w:hAnsi="Arial" w:cs="Arial"/>
          <w:sz w:val="20"/>
          <w:lang w:val="pl-PL"/>
        </w:rPr>
        <w:t>;</w:t>
      </w:r>
      <w:r w:rsidRPr="00D334E9">
        <w:rPr>
          <w:rFonts w:ascii="Arial" w:hAnsi="Arial" w:cs="Arial"/>
          <w:sz w:val="20"/>
          <w:lang w:val="pl-PL"/>
        </w:rPr>
        <w:t xml:space="preserve"> 05-500 Piaseczno</w:t>
      </w:r>
      <w:r>
        <w:rPr>
          <w:rFonts w:ascii="Arial" w:hAnsi="Arial" w:cs="Arial"/>
          <w:sz w:val="20"/>
          <w:lang w:val="pl-PL"/>
        </w:rPr>
        <w:t xml:space="preserve"> </w:t>
      </w:r>
      <w:r w:rsidRPr="00D334E9">
        <w:rPr>
          <w:rFonts w:ascii="Arial" w:hAnsi="Arial" w:cs="Arial"/>
          <w:sz w:val="20"/>
          <w:lang w:val="pl-PL"/>
        </w:rPr>
        <w:t>na podstawie art. 89 ust. 1 pkt 2 Ustawy prawo zamówień publicznych „ Zamawiający odrzuca ofertę jeżeli: 2) jej treść nie odpowiada treści specyfikacji istotnych warunków zamówienia</w:t>
      </w:r>
    </w:p>
    <w:p w:rsidR="005E4C02" w:rsidRPr="00D334E9" w:rsidRDefault="005E4C02" w:rsidP="005E4C02">
      <w:pPr>
        <w:ind w:firstLine="708"/>
        <w:rPr>
          <w:rFonts w:ascii="Arial" w:hAnsi="Arial" w:cs="Arial"/>
          <w:sz w:val="20"/>
          <w:lang w:val="pl-PL"/>
        </w:rPr>
      </w:pPr>
      <w:r w:rsidRPr="00D334E9">
        <w:rPr>
          <w:rFonts w:ascii="Arial" w:hAnsi="Arial" w:cs="Arial"/>
          <w:sz w:val="20"/>
          <w:lang w:val="pl-PL"/>
        </w:rPr>
        <w:t>W przesłanym przez Wykonawcę w dniu 24.04.2014r. dokumencie nie przedstawia przedmiot zamówienia o cechach odpowiadających cechom lub lepszych od cech wskazanych w opisie przedmiotu zamówienia, lecz oznaczonych innym znakiem towarowym (np. może oferować wykonanie robot budowlanych z zastosowaniem materiałów o parametrach lepszych niż wskazane przez zamawiającego w opisie rozwiązania równoważnego.</w:t>
      </w:r>
    </w:p>
    <w:p w:rsidR="005E4C02" w:rsidRDefault="005E4C02" w:rsidP="005E4C02">
      <w:pPr>
        <w:pStyle w:val="Akapitzlist"/>
        <w:widowControl w:val="0"/>
        <w:tabs>
          <w:tab w:val="left" w:pos="0"/>
        </w:tabs>
        <w:adjustRightInd w:val="0"/>
        <w:jc w:val="both"/>
        <w:rPr>
          <w:rFonts w:ascii="Arial" w:hAnsi="Arial" w:cs="Arial"/>
        </w:rPr>
      </w:pPr>
      <w:r w:rsidRPr="009D0C23">
        <w:rPr>
          <w:rFonts w:ascii="Arial" w:hAnsi="Arial" w:cs="Arial"/>
        </w:rPr>
        <w:t xml:space="preserve">Cyt. „ W odpowiedzi na Państwa pismo z dnia 16.04.2014r. w załączeniu przesyła oświadczenie producenta preparatów </w:t>
      </w:r>
      <w:proofErr w:type="spellStart"/>
      <w:r w:rsidRPr="009D0C23">
        <w:rPr>
          <w:rFonts w:ascii="Arial" w:hAnsi="Arial" w:cs="Arial"/>
        </w:rPr>
        <w:t>Thermoton</w:t>
      </w:r>
      <w:proofErr w:type="spellEnd"/>
      <w:r w:rsidRPr="009D0C23">
        <w:rPr>
          <w:rFonts w:ascii="Arial" w:hAnsi="Arial" w:cs="Arial"/>
        </w:rPr>
        <w:t xml:space="preserve"> </w:t>
      </w:r>
      <w:proofErr w:type="spellStart"/>
      <w:r w:rsidRPr="009D0C23">
        <w:rPr>
          <w:rFonts w:ascii="Arial" w:hAnsi="Arial" w:cs="Arial"/>
        </w:rPr>
        <w:t>Desinfektant</w:t>
      </w:r>
      <w:proofErr w:type="spellEnd"/>
      <w:r w:rsidRPr="009D0C23">
        <w:rPr>
          <w:rFonts w:ascii="Arial" w:hAnsi="Arial" w:cs="Arial"/>
        </w:rPr>
        <w:t xml:space="preserve"> oraz </w:t>
      </w:r>
      <w:proofErr w:type="spellStart"/>
      <w:r w:rsidRPr="009D0C23">
        <w:rPr>
          <w:rFonts w:ascii="Arial" w:hAnsi="Arial" w:cs="Arial"/>
        </w:rPr>
        <w:t>Thermoton</w:t>
      </w:r>
      <w:proofErr w:type="spellEnd"/>
      <w:r w:rsidRPr="009D0C23">
        <w:rPr>
          <w:rFonts w:ascii="Arial" w:hAnsi="Arial" w:cs="Arial"/>
        </w:rPr>
        <w:t xml:space="preserve"> NR potwierdzające ww. produktów w myjni dezynfektorze ETD2 Plus.”</w:t>
      </w:r>
      <w:r>
        <w:rPr>
          <w:rFonts w:ascii="Arial" w:hAnsi="Arial" w:cs="Arial"/>
        </w:rPr>
        <w:t xml:space="preserve"> </w:t>
      </w:r>
    </w:p>
    <w:p w:rsidR="005E4C02" w:rsidRPr="009D0C23" w:rsidRDefault="005E4C02" w:rsidP="005E4C02">
      <w:pPr>
        <w:pStyle w:val="Akapitzlist"/>
        <w:widowControl w:val="0"/>
        <w:tabs>
          <w:tab w:val="left" w:pos="0"/>
        </w:tabs>
        <w:adjustRightInd w:val="0"/>
        <w:ind w:left="0"/>
        <w:jc w:val="both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ab/>
        <w:t>Zamawiający informuje, że „</w:t>
      </w:r>
      <w:r w:rsidRPr="009D0C23">
        <w:rPr>
          <w:rFonts w:ascii="Arial" w:hAnsi="Arial" w:cs="Arial"/>
          <w:color w:val="1B1B1B"/>
        </w:rPr>
        <w:t xml:space="preserve">Oferta równoważna” (oferta zawierająca rozwiązania równoważne opisywanym) to oferta, która przedstawia przedmiot zamówienia o cechach technicznych, jakościowych lub funkcjonalnych odpowiadających cechom technicznym, jakościowym lub funkcjonalnym wskazanym w opisie przedmiotu zamówienia, lecz oznaczonych innym znakiem towarowym, patentem lub pochodzeniem. z zastosowaniem materiałów o parametrach lepszych niż wskazane przez zamawiającego w </w:t>
      </w:r>
      <w:r>
        <w:rPr>
          <w:rFonts w:ascii="Arial" w:hAnsi="Arial" w:cs="Arial"/>
          <w:color w:val="1B1B1B"/>
        </w:rPr>
        <w:t>opisie rozwiązania równoważnego</w:t>
      </w:r>
      <w:r w:rsidRPr="009D0C23">
        <w:rPr>
          <w:rFonts w:ascii="Arial" w:hAnsi="Arial" w:cs="Arial"/>
          <w:color w:val="1B1B1B"/>
        </w:rPr>
        <w:t>.</w:t>
      </w:r>
    </w:p>
    <w:p w:rsidR="005E4C02" w:rsidRPr="00D334E9" w:rsidRDefault="005E4C02" w:rsidP="005E4C02">
      <w:pPr>
        <w:ind w:firstLine="360"/>
        <w:rPr>
          <w:rFonts w:ascii="Arial" w:hAnsi="Arial" w:cs="Arial"/>
          <w:sz w:val="20"/>
          <w:lang w:val="pl-PL"/>
        </w:rPr>
      </w:pPr>
      <w:r w:rsidRPr="00D334E9">
        <w:rPr>
          <w:rFonts w:ascii="Arial" w:hAnsi="Arial" w:cs="Arial"/>
          <w:sz w:val="20"/>
          <w:lang w:val="pl-PL"/>
        </w:rPr>
        <w:t xml:space="preserve">Z posiadanych przez Zamawiającego dokumentów w złożonych ofertach nie wynika, że produkty </w:t>
      </w:r>
      <w:proofErr w:type="spellStart"/>
      <w:r w:rsidRPr="00D334E9">
        <w:rPr>
          <w:rFonts w:ascii="Arial" w:hAnsi="Arial" w:cs="Arial"/>
          <w:sz w:val="20"/>
          <w:lang w:val="pl-PL"/>
        </w:rPr>
        <w:t>Thermoton</w:t>
      </w:r>
      <w:proofErr w:type="spellEnd"/>
      <w:r w:rsidRPr="00D334E9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D334E9">
        <w:rPr>
          <w:rFonts w:ascii="Arial" w:hAnsi="Arial" w:cs="Arial"/>
          <w:sz w:val="20"/>
          <w:lang w:val="pl-PL"/>
        </w:rPr>
        <w:t>Desinfektant</w:t>
      </w:r>
      <w:proofErr w:type="spellEnd"/>
      <w:r w:rsidRPr="00D334E9">
        <w:rPr>
          <w:rFonts w:ascii="Arial" w:hAnsi="Arial" w:cs="Arial"/>
          <w:sz w:val="20"/>
          <w:lang w:val="pl-PL"/>
        </w:rPr>
        <w:t xml:space="preserve"> oraz </w:t>
      </w:r>
      <w:proofErr w:type="spellStart"/>
      <w:r w:rsidRPr="00D334E9">
        <w:rPr>
          <w:rFonts w:ascii="Arial" w:hAnsi="Arial" w:cs="Arial"/>
          <w:sz w:val="20"/>
          <w:lang w:val="pl-PL"/>
        </w:rPr>
        <w:t>Thermoton</w:t>
      </w:r>
      <w:proofErr w:type="spellEnd"/>
      <w:r w:rsidRPr="00D334E9">
        <w:rPr>
          <w:rFonts w:ascii="Arial" w:hAnsi="Arial" w:cs="Arial"/>
          <w:sz w:val="20"/>
          <w:lang w:val="pl-PL"/>
        </w:rPr>
        <w:t xml:space="preserve"> NR są równoważne z produktami </w:t>
      </w:r>
      <w:proofErr w:type="spellStart"/>
      <w:r w:rsidRPr="00D334E9">
        <w:rPr>
          <w:rFonts w:ascii="Arial" w:hAnsi="Arial" w:cs="Arial"/>
          <w:sz w:val="20"/>
          <w:lang w:val="pl-PL"/>
        </w:rPr>
        <w:t>Thermosept</w:t>
      </w:r>
      <w:proofErr w:type="spellEnd"/>
      <w:r w:rsidRPr="00D334E9">
        <w:rPr>
          <w:rFonts w:ascii="Arial" w:hAnsi="Arial" w:cs="Arial"/>
          <w:sz w:val="20"/>
          <w:lang w:val="pl-PL"/>
        </w:rPr>
        <w:t xml:space="preserve"> ED i </w:t>
      </w:r>
      <w:proofErr w:type="spellStart"/>
      <w:r w:rsidRPr="00D334E9">
        <w:rPr>
          <w:rFonts w:ascii="Arial" w:hAnsi="Arial" w:cs="Arial"/>
          <w:sz w:val="20"/>
          <w:lang w:val="pl-PL"/>
        </w:rPr>
        <w:t>Thermosept</w:t>
      </w:r>
      <w:proofErr w:type="spellEnd"/>
      <w:r w:rsidRPr="00D334E9">
        <w:rPr>
          <w:rFonts w:ascii="Arial" w:hAnsi="Arial" w:cs="Arial"/>
          <w:sz w:val="20"/>
          <w:lang w:val="pl-PL"/>
        </w:rPr>
        <w:t xml:space="preserve"> ER  a między innymi:</w:t>
      </w:r>
    </w:p>
    <w:p w:rsidR="005E4C02" w:rsidRPr="009D0C23" w:rsidRDefault="005E4C02" w:rsidP="005E4C0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9D0C23">
        <w:rPr>
          <w:rFonts w:ascii="Arial" w:hAnsi="Arial" w:cs="Arial"/>
        </w:rPr>
        <w:lastRenderedPageBreak/>
        <w:t>Thermoton</w:t>
      </w:r>
      <w:proofErr w:type="spellEnd"/>
      <w:r w:rsidRPr="009D0C23">
        <w:rPr>
          <w:rFonts w:ascii="Arial" w:hAnsi="Arial" w:cs="Arial"/>
        </w:rPr>
        <w:t xml:space="preserve"> NR brak informacji o enzymach, glikolach konserwujących, inhibitorów korozji, substancje zwiększające rozpuszczalność.</w:t>
      </w:r>
    </w:p>
    <w:p w:rsidR="005E4C02" w:rsidRDefault="005E4C02" w:rsidP="005E4C0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9D0C23">
        <w:rPr>
          <w:rFonts w:ascii="Arial" w:hAnsi="Arial" w:cs="Arial"/>
        </w:rPr>
        <w:t>Thermoton</w:t>
      </w:r>
      <w:proofErr w:type="spellEnd"/>
      <w:r w:rsidRPr="009D0C23">
        <w:rPr>
          <w:rFonts w:ascii="Arial" w:hAnsi="Arial" w:cs="Arial"/>
        </w:rPr>
        <w:t xml:space="preserve"> </w:t>
      </w:r>
      <w:proofErr w:type="spellStart"/>
      <w:r w:rsidRPr="009D0C23">
        <w:rPr>
          <w:rFonts w:ascii="Arial" w:hAnsi="Arial" w:cs="Arial"/>
        </w:rPr>
        <w:t>Desinfektant</w:t>
      </w:r>
      <w:proofErr w:type="spellEnd"/>
      <w:r w:rsidRPr="009D0C23">
        <w:rPr>
          <w:rFonts w:ascii="Arial" w:hAnsi="Arial" w:cs="Arial"/>
        </w:rPr>
        <w:t xml:space="preserve"> zawiera </w:t>
      </w:r>
      <w:r w:rsidRPr="00DA5EA4">
        <w:rPr>
          <w:rFonts w:ascii="Arial" w:hAnsi="Arial" w:cs="Arial"/>
          <w:u w:val="single"/>
        </w:rPr>
        <w:t>10,0g</w:t>
      </w:r>
      <w:r w:rsidRPr="009D0C23">
        <w:rPr>
          <w:rFonts w:ascii="Arial" w:hAnsi="Arial" w:cs="Arial"/>
        </w:rPr>
        <w:t xml:space="preserve"> aldehydu </w:t>
      </w:r>
      <w:proofErr w:type="spellStart"/>
      <w:r w:rsidRPr="009D0C23">
        <w:rPr>
          <w:rFonts w:ascii="Arial" w:hAnsi="Arial" w:cs="Arial"/>
        </w:rPr>
        <w:t>glutarowego</w:t>
      </w:r>
      <w:proofErr w:type="spellEnd"/>
      <w:r w:rsidRPr="009D0C23">
        <w:rPr>
          <w:rFonts w:ascii="Arial" w:hAnsi="Arial" w:cs="Arial"/>
        </w:rPr>
        <w:t xml:space="preserve"> a </w:t>
      </w:r>
      <w:proofErr w:type="spellStart"/>
      <w:r w:rsidRPr="009D0C23">
        <w:rPr>
          <w:rFonts w:ascii="Arial" w:hAnsi="Arial" w:cs="Arial"/>
        </w:rPr>
        <w:t>Thermosept</w:t>
      </w:r>
      <w:proofErr w:type="spellEnd"/>
      <w:r w:rsidRPr="009D0C23">
        <w:rPr>
          <w:rFonts w:ascii="Arial" w:hAnsi="Arial" w:cs="Arial"/>
        </w:rPr>
        <w:t xml:space="preserve"> ED zawiera </w:t>
      </w:r>
      <w:r w:rsidRPr="00DA5EA4">
        <w:rPr>
          <w:rFonts w:ascii="Arial" w:hAnsi="Arial" w:cs="Arial"/>
          <w:u w:val="single"/>
        </w:rPr>
        <w:t>20g</w:t>
      </w:r>
      <w:r w:rsidRPr="009D0C23">
        <w:rPr>
          <w:rFonts w:ascii="Arial" w:hAnsi="Arial" w:cs="Arial"/>
        </w:rPr>
        <w:t xml:space="preserve"> aldehydu </w:t>
      </w:r>
      <w:proofErr w:type="spellStart"/>
      <w:r w:rsidRPr="009D0C23">
        <w:rPr>
          <w:rFonts w:ascii="Arial" w:hAnsi="Arial" w:cs="Arial"/>
        </w:rPr>
        <w:t>glutarowego</w:t>
      </w:r>
      <w:proofErr w:type="spellEnd"/>
      <w:r w:rsidRPr="009D0C23">
        <w:rPr>
          <w:rFonts w:ascii="Arial" w:hAnsi="Arial" w:cs="Arial"/>
        </w:rPr>
        <w:t xml:space="preserve"> inhibitory korazji , alkohole i dodatki kompleksujące </w:t>
      </w:r>
    </w:p>
    <w:p w:rsidR="005E4C02" w:rsidRPr="009D0C23" w:rsidRDefault="005E4C02" w:rsidP="005E4C0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9D0C23">
        <w:rPr>
          <w:rFonts w:ascii="Arial" w:hAnsi="Arial" w:cs="Arial"/>
        </w:rPr>
        <w:t>Thermoton</w:t>
      </w:r>
      <w:proofErr w:type="spellEnd"/>
      <w:r w:rsidRPr="009D0C23">
        <w:rPr>
          <w:rFonts w:ascii="Arial" w:hAnsi="Arial" w:cs="Arial"/>
        </w:rPr>
        <w:t xml:space="preserve"> </w:t>
      </w:r>
      <w:proofErr w:type="spellStart"/>
      <w:r w:rsidRPr="009D0C23">
        <w:rPr>
          <w:rFonts w:ascii="Arial" w:hAnsi="Arial" w:cs="Arial"/>
        </w:rPr>
        <w:t>Desinfektant</w:t>
      </w:r>
      <w:proofErr w:type="spellEnd"/>
      <w:r w:rsidRPr="009D0C23">
        <w:rPr>
          <w:rFonts w:ascii="Arial" w:hAnsi="Arial" w:cs="Arial"/>
        </w:rPr>
        <w:t xml:space="preserve"> oraz </w:t>
      </w:r>
      <w:proofErr w:type="spellStart"/>
      <w:r w:rsidRPr="009D0C23">
        <w:rPr>
          <w:rFonts w:ascii="Arial" w:hAnsi="Arial" w:cs="Arial"/>
        </w:rPr>
        <w:t>Thermoton</w:t>
      </w:r>
      <w:proofErr w:type="spellEnd"/>
      <w:r w:rsidRPr="009D0C23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brak wykazania o oddziaływaniu na spory i jaja glisty.</w:t>
      </w:r>
    </w:p>
    <w:p w:rsidR="005E4C02" w:rsidRPr="009D0C23" w:rsidRDefault="005E4C02" w:rsidP="005E4C0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D0C23">
        <w:rPr>
          <w:rFonts w:ascii="Arial" w:hAnsi="Arial" w:cs="Arial"/>
        </w:rPr>
        <w:t xml:space="preserve">Preparaty </w:t>
      </w:r>
      <w:proofErr w:type="spellStart"/>
      <w:r w:rsidRPr="009D0C23">
        <w:rPr>
          <w:rFonts w:ascii="Arial" w:hAnsi="Arial" w:cs="Arial"/>
        </w:rPr>
        <w:t>Thermoton</w:t>
      </w:r>
      <w:proofErr w:type="spellEnd"/>
      <w:r w:rsidRPr="009D0C23">
        <w:rPr>
          <w:rFonts w:ascii="Arial" w:hAnsi="Arial" w:cs="Arial"/>
        </w:rPr>
        <w:t xml:space="preserve"> </w:t>
      </w:r>
      <w:proofErr w:type="spellStart"/>
      <w:r w:rsidRPr="009D0C23">
        <w:rPr>
          <w:rFonts w:ascii="Arial" w:hAnsi="Arial" w:cs="Arial"/>
        </w:rPr>
        <w:t>Desinfektant</w:t>
      </w:r>
      <w:proofErr w:type="spellEnd"/>
      <w:r w:rsidRPr="009D0C23">
        <w:rPr>
          <w:rFonts w:ascii="Arial" w:hAnsi="Arial" w:cs="Arial"/>
        </w:rPr>
        <w:t xml:space="preserve"> oraz </w:t>
      </w:r>
      <w:proofErr w:type="spellStart"/>
      <w:r w:rsidRPr="009D0C23">
        <w:rPr>
          <w:rFonts w:ascii="Arial" w:hAnsi="Arial" w:cs="Arial"/>
        </w:rPr>
        <w:t>Thermoton</w:t>
      </w:r>
      <w:proofErr w:type="spellEnd"/>
      <w:r w:rsidRPr="009D0C23">
        <w:rPr>
          <w:rFonts w:ascii="Arial" w:hAnsi="Arial" w:cs="Arial"/>
        </w:rPr>
        <w:t xml:space="preserve"> NR wymagają ustawiania program </w:t>
      </w:r>
      <w:r>
        <w:rPr>
          <w:rFonts w:ascii="Arial" w:hAnsi="Arial" w:cs="Arial"/>
        </w:rPr>
        <w:t xml:space="preserve">dezynfekcji </w:t>
      </w:r>
      <w:r w:rsidRPr="009D0C23">
        <w:rPr>
          <w:rFonts w:ascii="Arial" w:hAnsi="Arial" w:cs="Arial"/>
        </w:rPr>
        <w:t xml:space="preserve">czego nie wymagają produkty </w:t>
      </w:r>
      <w:proofErr w:type="spellStart"/>
      <w:r w:rsidRPr="009D0C23">
        <w:rPr>
          <w:rFonts w:ascii="Arial" w:hAnsi="Arial" w:cs="Arial"/>
        </w:rPr>
        <w:t>Thermosept</w:t>
      </w:r>
      <w:proofErr w:type="spellEnd"/>
      <w:r w:rsidRPr="009D0C23">
        <w:rPr>
          <w:rFonts w:ascii="Arial" w:hAnsi="Arial" w:cs="Arial"/>
        </w:rPr>
        <w:t xml:space="preserve"> ED i </w:t>
      </w:r>
      <w:proofErr w:type="spellStart"/>
      <w:r w:rsidRPr="009D0C23">
        <w:rPr>
          <w:rFonts w:ascii="Arial" w:hAnsi="Arial" w:cs="Arial"/>
        </w:rPr>
        <w:t>Thermosept</w:t>
      </w:r>
      <w:proofErr w:type="spellEnd"/>
      <w:r w:rsidRPr="009D0C23">
        <w:rPr>
          <w:rFonts w:ascii="Arial" w:hAnsi="Arial" w:cs="Arial"/>
        </w:rPr>
        <w:t xml:space="preserve"> ER. Zamawiający nie </w:t>
      </w:r>
      <w:r>
        <w:rPr>
          <w:rFonts w:ascii="Arial" w:hAnsi="Arial" w:cs="Arial"/>
        </w:rPr>
        <w:t>ma</w:t>
      </w:r>
      <w:r w:rsidRPr="009D0C23">
        <w:rPr>
          <w:rFonts w:ascii="Arial" w:hAnsi="Arial" w:cs="Arial"/>
        </w:rPr>
        <w:t xml:space="preserve"> możliwości we własnym </w:t>
      </w:r>
      <w:r>
        <w:rPr>
          <w:rFonts w:ascii="Arial" w:hAnsi="Arial" w:cs="Arial"/>
        </w:rPr>
        <w:t xml:space="preserve">zakresie </w:t>
      </w:r>
      <w:r w:rsidRPr="009D0C23">
        <w:rPr>
          <w:rFonts w:ascii="Arial" w:hAnsi="Arial" w:cs="Arial"/>
        </w:rPr>
        <w:t>i bez  zgody serwisanta dokonywać zmian w oprogramowaniu aparatu.</w:t>
      </w:r>
    </w:p>
    <w:p w:rsidR="005E4C02" w:rsidRPr="00D334E9" w:rsidRDefault="005E4C02" w:rsidP="005E4C02">
      <w:pPr>
        <w:rPr>
          <w:rFonts w:ascii="Arial" w:hAnsi="Arial" w:cs="Arial"/>
          <w:sz w:val="20"/>
          <w:lang w:val="pl-PL"/>
        </w:rPr>
      </w:pPr>
      <w:r w:rsidRPr="00927E91">
        <w:rPr>
          <w:rFonts w:ascii="Arial" w:hAnsi="Arial" w:cs="Arial"/>
          <w:sz w:val="20"/>
          <w:lang w:val="pl-PL"/>
        </w:rPr>
        <w:t xml:space="preserve">- </w:t>
      </w:r>
      <w:r w:rsidRPr="00D334E9">
        <w:rPr>
          <w:rFonts w:ascii="Arial" w:hAnsi="Arial" w:cs="Arial"/>
          <w:sz w:val="20"/>
          <w:lang w:val="pl-PL"/>
        </w:rPr>
        <w:t>nie  wykluczył żadnego Wykonawcy</w:t>
      </w:r>
    </w:p>
    <w:p w:rsidR="005E4C02" w:rsidRDefault="005E4C02" w:rsidP="005E4C02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nie krótszym niż 5 dni od dnia przesłania zawiadomienia o wyborze najkorzystniejszej oferty </w:t>
      </w:r>
    </w:p>
    <w:p w:rsidR="005E4C02" w:rsidRDefault="005E4C02" w:rsidP="005E4C02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5E4C02" w:rsidRDefault="005E4C02" w:rsidP="005E4C02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  <w:bookmarkStart w:id="0" w:name="_GoBack"/>
      <w:bookmarkEnd w:id="0"/>
    </w:p>
    <w:p w:rsidR="005E4C02" w:rsidRPr="00156F4A" w:rsidRDefault="005E4C02" w:rsidP="005E4C02">
      <w:pPr>
        <w:rPr>
          <w:lang w:val="pl-PL"/>
        </w:rPr>
      </w:pPr>
    </w:p>
    <w:p w:rsidR="005E4C02" w:rsidRPr="009D45AD" w:rsidRDefault="005E4C02" w:rsidP="005E4C02">
      <w:pPr>
        <w:rPr>
          <w:lang w:val="pl-PL"/>
        </w:rPr>
      </w:pPr>
    </w:p>
    <w:p w:rsidR="005E4C02" w:rsidRPr="009D45AD" w:rsidRDefault="005E4C02" w:rsidP="005E4C02">
      <w:pPr>
        <w:rPr>
          <w:lang w:val="pl-PL"/>
        </w:rPr>
      </w:pPr>
    </w:p>
    <w:p w:rsidR="005E4C02" w:rsidRPr="009D45AD" w:rsidRDefault="005E4C02" w:rsidP="005E4C02">
      <w:pPr>
        <w:rPr>
          <w:lang w:val="pl-PL"/>
        </w:rPr>
      </w:pPr>
    </w:p>
    <w:p w:rsidR="005E4C02" w:rsidRPr="009D45AD" w:rsidRDefault="005E4C02" w:rsidP="005E4C02">
      <w:pPr>
        <w:rPr>
          <w:lang w:val="pl-PL"/>
        </w:rPr>
      </w:pPr>
    </w:p>
    <w:p w:rsidR="005E4C02" w:rsidRPr="009D45AD" w:rsidRDefault="005E4C02" w:rsidP="005E4C02">
      <w:pPr>
        <w:rPr>
          <w:lang w:val="pl-PL"/>
        </w:rPr>
      </w:pPr>
    </w:p>
    <w:p w:rsidR="005E4C02" w:rsidRPr="009D45AD" w:rsidRDefault="005E4C02" w:rsidP="005E4C02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9D45AD">
        <w:rPr>
          <w:rFonts w:ascii="Arial" w:hAnsi="Arial" w:cs="Arial"/>
          <w:sz w:val="18"/>
          <w:szCs w:val="18"/>
          <w:lang w:val="pl-PL"/>
        </w:rPr>
        <w:t>/-/ Dyrektor PZOZ w Starachowicach</w:t>
      </w:r>
    </w:p>
    <w:p w:rsidR="005E4C02" w:rsidRPr="009D45AD" w:rsidRDefault="005E4C02" w:rsidP="005E4C02">
      <w:pPr>
        <w:rPr>
          <w:lang w:val="pl-PL"/>
        </w:rPr>
      </w:pPr>
    </w:p>
    <w:p w:rsidR="005E4C02" w:rsidRPr="00782891" w:rsidRDefault="005E4C02" w:rsidP="005E4C02">
      <w:pPr>
        <w:rPr>
          <w:lang w:val="pl-PL"/>
        </w:rPr>
      </w:pPr>
    </w:p>
    <w:p w:rsidR="005E4C02" w:rsidRPr="00782891" w:rsidRDefault="005E4C02" w:rsidP="005E4C02">
      <w:pPr>
        <w:rPr>
          <w:lang w:val="pl-PL"/>
        </w:rPr>
      </w:pPr>
    </w:p>
    <w:p w:rsidR="005E4C02" w:rsidRPr="00782891" w:rsidRDefault="005E4C02" w:rsidP="005E4C02">
      <w:pPr>
        <w:rPr>
          <w:rFonts w:ascii="Arial" w:hAnsi="Arial" w:cs="Arial"/>
          <w:sz w:val="16"/>
          <w:szCs w:val="16"/>
          <w:lang w:val="pl-PL"/>
        </w:rPr>
      </w:pPr>
    </w:p>
    <w:p w:rsidR="005E4C02" w:rsidRPr="00782891" w:rsidRDefault="005E4C02" w:rsidP="005E4C02">
      <w:pPr>
        <w:rPr>
          <w:lang w:val="pl-PL"/>
        </w:rPr>
      </w:pPr>
    </w:p>
    <w:p w:rsidR="005E4C02" w:rsidRPr="00782891" w:rsidRDefault="005E4C02" w:rsidP="005E4C02">
      <w:pPr>
        <w:rPr>
          <w:lang w:val="pl-PL"/>
        </w:rPr>
      </w:pPr>
    </w:p>
    <w:p w:rsidR="005E4C02" w:rsidRPr="00782891" w:rsidRDefault="005E4C02" w:rsidP="005E4C02">
      <w:pPr>
        <w:rPr>
          <w:lang w:val="pl-PL"/>
        </w:rPr>
      </w:pPr>
    </w:p>
    <w:p w:rsidR="004209F8" w:rsidRDefault="004209F8"/>
    <w:sectPr w:rsidR="004209F8" w:rsidSect="005E4C02">
      <w:footerReference w:type="default" r:id="rId8"/>
      <w:headerReference w:type="first" r:id="rId9"/>
      <w:footerReference w:type="first" r:id="rId10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CB" w:rsidRDefault="005152CB">
      <w:r>
        <w:separator/>
      </w:r>
    </w:p>
  </w:endnote>
  <w:endnote w:type="continuationSeparator" w:id="0">
    <w:p w:rsidR="005152CB" w:rsidRDefault="0051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472E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E4C02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CBFA010" wp14:editId="1E6C5FA7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CB" w:rsidRDefault="005152CB">
      <w:r>
        <w:separator/>
      </w:r>
    </w:p>
  </w:footnote>
  <w:footnote w:type="continuationSeparator" w:id="0">
    <w:p w:rsidR="005152CB" w:rsidRDefault="00515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E4C02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12BDD5A" wp14:editId="7AD79D6F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37844"/>
    <w:multiLevelType w:val="hybridMultilevel"/>
    <w:tmpl w:val="CD0CF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02"/>
    <w:rsid w:val="004209F8"/>
    <w:rsid w:val="005152CB"/>
    <w:rsid w:val="005472EE"/>
    <w:rsid w:val="005E4C02"/>
    <w:rsid w:val="009D45AD"/>
    <w:rsid w:val="00D42313"/>
    <w:rsid w:val="00F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C0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4C0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E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C0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5E4C02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C0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4C0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E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C0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5E4C02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2014-05-26T10:13:00Z</cp:lastPrinted>
  <dcterms:created xsi:type="dcterms:W3CDTF">2014-05-26T07:44:00Z</dcterms:created>
  <dcterms:modified xsi:type="dcterms:W3CDTF">2014-05-26T12:14:00Z</dcterms:modified>
</cp:coreProperties>
</file>