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Ogłoszenie nr 548463-N-2017 z dnia 2017-07-11 r. </w:t>
      </w:r>
    </w:p>
    <w:p w:rsidR="00AD0E17" w:rsidRPr="00AD0E17" w:rsidRDefault="00AD0E17" w:rsidP="00AD0E17">
      <w:pPr>
        <w:spacing w:after="0" w:line="240" w:lineRule="auto"/>
        <w:jc w:val="center"/>
        <w:rPr>
          <w:rFonts w:ascii="Arial" w:eastAsia="Times New Roman" w:hAnsi="Arial" w:cs="Arial"/>
          <w:sz w:val="20"/>
          <w:szCs w:val="20"/>
          <w:lang w:eastAsia="pl-PL"/>
        </w:rPr>
      </w:pPr>
      <w:r w:rsidRPr="00AD0E17">
        <w:rPr>
          <w:rFonts w:ascii="Arial" w:eastAsia="Times New Roman" w:hAnsi="Arial" w:cs="Arial"/>
          <w:sz w:val="20"/>
          <w:szCs w:val="20"/>
          <w:lang w:eastAsia="pl-PL"/>
        </w:rPr>
        <w:t>Powiatowy Zakład Opieki Zdrowotnej: Dostawa sprzętu jednorazowego użytku i innych produktów medycznych dla Powiatowego Zakładu Opieki Zdrowotnej z siedzibą w Starachowicach</w:t>
      </w:r>
      <w:r w:rsidRPr="00AD0E17">
        <w:rPr>
          <w:rFonts w:ascii="Arial" w:eastAsia="Times New Roman" w:hAnsi="Arial" w:cs="Arial"/>
          <w:sz w:val="20"/>
          <w:szCs w:val="20"/>
          <w:lang w:eastAsia="pl-PL"/>
        </w:rPr>
        <w:br/>
        <w:t xml:space="preserve">OGŁOSZENIE O ZAMÓWIENIU - Dostawy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Zamieszczanie ogłoszenia:</w:t>
      </w:r>
      <w:r w:rsidRPr="00AD0E17">
        <w:rPr>
          <w:rFonts w:ascii="Arial" w:eastAsia="Times New Roman" w:hAnsi="Arial" w:cs="Arial"/>
          <w:sz w:val="20"/>
          <w:szCs w:val="20"/>
          <w:lang w:eastAsia="pl-PL"/>
        </w:rPr>
        <w:t xml:space="preserve"> Zamieszczanie nieobowiązkowe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Ogłoszenie dotyczy:</w:t>
      </w:r>
      <w:r w:rsidRPr="00AD0E17">
        <w:rPr>
          <w:rFonts w:ascii="Arial" w:eastAsia="Times New Roman" w:hAnsi="Arial" w:cs="Arial"/>
          <w:sz w:val="20"/>
          <w:szCs w:val="20"/>
          <w:lang w:eastAsia="pl-PL"/>
        </w:rPr>
        <w:t xml:space="preserve"> Zamówienia publicznego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Zamówienie dotyczy projektu lub programu współfinansowanego ze środków Unii Europejskiej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Nazwa projektu lub programu</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t xml:space="preserve">Należy podać minimalny procentowy wskaźnik zatrudnienia osób należących do jednej lub więcej kategorii, o których mowa w art. 22 ust. 2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nie mniejszy niż 30%, osób zatrudnionych przez zakłady pracy chronionej lub wykonawców albo ich jednostki (w %)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u w:val="single"/>
          <w:lang w:eastAsia="pl-PL"/>
        </w:rPr>
        <w:t>SEKCJA I: ZAMAWIAJĄCY</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Postępowanie przeprowadza centralny zamawiający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Postępowanie przeprowadza podmiot, któremu zamawiający powierzył/powierzyli przeprowadzenie postępowania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Informacje na temat podmiotu któremu zamawiający powierzył/powierzyli prowadzenie postępowania:</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Postępowanie jest przeprowadzane wspólnie przez zamawiających</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Postępowanie jest przeprowadzane wspólnie z zamawiającymi z innych państw członkowskich Unii Europejskiej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Informacje dodatkowe:</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 1) NAZWA I ADRES: </w:t>
      </w:r>
      <w:r w:rsidRPr="00AD0E17">
        <w:rPr>
          <w:rFonts w:ascii="Arial" w:eastAsia="Times New Roman" w:hAnsi="Arial" w:cs="Arial"/>
          <w:sz w:val="20"/>
          <w:szCs w:val="20"/>
          <w:lang w:eastAsia="pl-PL"/>
        </w:rPr>
        <w:t xml:space="preserve">Powiatowy Zakład Opieki Zdrowotnej, krajowy numer identyfikacyjny 29114175200000, ul. ul. Radomska  70 , 27200   Starachowice, woj. świętokrzyskie, państwo Polska, tel. 041 2745202 w. 182, , e-mail pzozstarachowice.zp@interia.pl, , faks 412 746 158. </w:t>
      </w:r>
      <w:r w:rsidRPr="00AD0E17">
        <w:rPr>
          <w:rFonts w:ascii="Arial" w:eastAsia="Times New Roman" w:hAnsi="Arial" w:cs="Arial"/>
          <w:sz w:val="20"/>
          <w:szCs w:val="20"/>
          <w:lang w:eastAsia="pl-PL"/>
        </w:rPr>
        <w:br/>
        <w:t xml:space="preserve">Adres strony internetowej (URL): http://zoz.starachowice.sisco.info/ </w:t>
      </w:r>
      <w:r w:rsidRPr="00AD0E17">
        <w:rPr>
          <w:rFonts w:ascii="Arial" w:eastAsia="Times New Roman" w:hAnsi="Arial" w:cs="Arial"/>
          <w:sz w:val="20"/>
          <w:szCs w:val="20"/>
          <w:lang w:eastAsia="pl-PL"/>
        </w:rPr>
        <w:br/>
        <w:t xml:space="preserve">Adres profilu nabywcy: </w:t>
      </w:r>
      <w:r w:rsidRPr="00AD0E17">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 2) RODZAJ ZAMAWIAJĄCEGO: </w:t>
      </w:r>
      <w:r w:rsidRPr="00AD0E17">
        <w:rPr>
          <w:rFonts w:ascii="Arial" w:eastAsia="Times New Roman" w:hAnsi="Arial" w:cs="Arial"/>
          <w:sz w:val="20"/>
          <w:szCs w:val="20"/>
          <w:lang w:eastAsia="pl-PL"/>
        </w:rPr>
        <w:t xml:space="preserve">Podmiot prawa publicznego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I.3) WSPÓLNE UDZIELANIE ZAMÓWIENIA </w:t>
      </w:r>
      <w:r w:rsidRPr="00AD0E17">
        <w:rPr>
          <w:rFonts w:ascii="Arial" w:eastAsia="Times New Roman" w:hAnsi="Arial" w:cs="Arial"/>
          <w:b/>
          <w:bCs/>
          <w:i/>
          <w:iCs/>
          <w:sz w:val="20"/>
          <w:szCs w:val="20"/>
          <w:lang w:eastAsia="pl-PL"/>
        </w:rPr>
        <w:t>(jeżeli dotyczy)</w:t>
      </w:r>
      <w:r w:rsidRPr="00AD0E17">
        <w:rPr>
          <w:rFonts w:ascii="Arial" w:eastAsia="Times New Roman" w:hAnsi="Arial" w:cs="Arial"/>
          <w:b/>
          <w:bCs/>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w:t>
      </w:r>
      <w:r w:rsidRPr="00AD0E17">
        <w:rPr>
          <w:rFonts w:ascii="Arial" w:eastAsia="Times New Roman" w:hAnsi="Arial" w:cs="Arial"/>
          <w:sz w:val="20"/>
          <w:szCs w:val="20"/>
          <w:lang w:eastAsia="pl-PL"/>
        </w:rPr>
        <w:lastRenderedPageBreak/>
        <w:t xml:space="preserve">zamówienie zostanie udzielone w imieniu i na rzecz pozostałych zamawiających):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I.4) KOMUNIKACJA: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Nieograniczony, pełny i bezpośredni dostęp do dokumentów z postępowania można uzyskać pod adresem (URL)</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http://zoz.starachowice.sisco.info/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Adres strony internetowej, na której zamieszczona będzie specyfikacja istotnych warunków zamówienia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http://zoz.starachowice.sisco.info/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Dostęp do dokumentów z postępowania jest ograniczony - więcej informacji można uzyskać pod adresem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Oferty lub wnioski o dopuszczenie do udziału w postępowaniu należy przesyłać:</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Elektronicznie</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adres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Dopuszczone jest przesłanie ofert lub wniosków o dopuszczenie do udziału w postępowaniu w inny sposób:</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Nie </w:t>
      </w:r>
      <w:r w:rsidRPr="00AD0E17">
        <w:rPr>
          <w:rFonts w:ascii="Arial" w:eastAsia="Times New Roman" w:hAnsi="Arial" w:cs="Arial"/>
          <w:sz w:val="20"/>
          <w:szCs w:val="20"/>
          <w:lang w:eastAsia="pl-PL"/>
        </w:rPr>
        <w:br/>
        <w:t xml:space="preserve">Inny sposób: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Wymagane jest przesłanie ofert lub wniosków o dopuszczenie do udziału w postępowaniu w inny sposób:</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w:t>
      </w:r>
      <w:r w:rsidRPr="00AD0E17">
        <w:rPr>
          <w:rFonts w:ascii="Arial" w:eastAsia="Times New Roman" w:hAnsi="Arial" w:cs="Arial"/>
          <w:sz w:val="20"/>
          <w:szCs w:val="20"/>
          <w:lang w:eastAsia="pl-PL"/>
        </w:rPr>
        <w:br/>
        <w:t xml:space="preserve">Inny sposób: </w:t>
      </w:r>
      <w:r w:rsidRPr="00AD0E17">
        <w:rPr>
          <w:rFonts w:ascii="Arial" w:eastAsia="Times New Roman" w:hAnsi="Arial" w:cs="Arial"/>
          <w:sz w:val="20"/>
          <w:szCs w:val="20"/>
          <w:lang w:eastAsia="pl-PL"/>
        </w:rPr>
        <w:br/>
        <w:t xml:space="preserve">w formie pisemnej - wersja papierowa </w:t>
      </w:r>
      <w:r w:rsidRPr="00AD0E17">
        <w:rPr>
          <w:rFonts w:ascii="Arial" w:eastAsia="Times New Roman" w:hAnsi="Arial" w:cs="Arial"/>
          <w:sz w:val="20"/>
          <w:szCs w:val="20"/>
          <w:lang w:eastAsia="pl-PL"/>
        </w:rPr>
        <w:br/>
        <w:t xml:space="preserve">Adres: </w:t>
      </w:r>
      <w:r w:rsidRPr="00AD0E17">
        <w:rPr>
          <w:rFonts w:ascii="Arial" w:eastAsia="Times New Roman" w:hAnsi="Arial" w:cs="Arial"/>
          <w:sz w:val="20"/>
          <w:szCs w:val="20"/>
          <w:lang w:eastAsia="pl-PL"/>
        </w:rPr>
        <w:br/>
        <w:t xml:space="preserve">Powiatowy Zakład Opieki Zdrowotnej ul. Radomska 70 27 - 200 Starachowice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Komunikacja elektroniczna wymaga korzystania z narzędzi i urządzeń lub formatów plików, które nie są ogólnie dostępne</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Nieograniczony, pełny, bezpośredni i bezpłatny dostęp do tych narzędzi można uzyskać pod adresem: (URL)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u w:val="single"/>
          <w:lang w:eastAsia="pl-PL"/>
        </w:rPr>
        <w:t xml:space="preserve">SEKCJA II: PRZEDMIOT ZAMÓWIENIA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II.1) Nazwa nadana zamówieniu przez zamawiającego: </w:t>
      </w:r>
      <w:r w:rsidRPr="00AD0E17">
        <w:rPr>
          <w:rFonts w:ascii="Arial" w:eastAsia="Times New Roman" w:hAnsi="Arial" w:cs="Arial"/>
          <w:sz w:val="20"/>
          <w:szCs w:val="20"/>
          <w:lang w:eastAsia="pl-PL"/>
        </w:rPr>
        <w:t xml:space="preserve">Dostawa sprzętu jednorazowego użytku i innych produktów medycznych dla Powiatowego Zakładu Opieki Zdrowotnej z siedzibą w Starachowicach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Numer referencyjny: </w:t>
      </w:r>
      <w:r w:rsidRPr="00AD0E17">
        <w:rPr>
          <w:rFonts w:ascii="Arial" w:eastAsia="Times New Roman" w:hAnsi="Arial" w:cs="Arial"/>
          <w:sz w:val="20"/>
          <w:szCs w:val="20"/>
          <w:lang w:eastAsia="pl-PL"/>
        </w:rPr>
        <w:t xml:space="preserve">P/30/07/2017/SJU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Przed wszczęciem postępowania o udzielenie zamówienia przeprowadzono dialog techniczny </w:t>
      </w:r>
    </w:p>
    <w:p w:rsidR="00AD0E17" w:rsidRPr="00AD0E17" w:rsidRDefault="00AD0E17" w:rsidP="00AD0E17">
      <w:pPr>
        <w:spacing w:after="0" w:line="240" w:lineRule="auto"/>
        <w:jc w:val="both"/>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II.2) Rodzaj zamówienia: </w:t>
      </w:r>
      <w:r w:rsidRPr="00AD0E17">
        <w:rPr>
          <w:rFonts w:ascii="Arial" w:eastAsia="Times New Roman" w:hAnsi="Arial" w:cs="Arial"/>
          <w:sz w:val="20"/>
          <w:szCs w:val="20"/>
          <w:lang w:eastAsia="pl-PL"/>
        </w:rPr>
        <w:t xml:space="preserve">Dostawy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II.3) Informacja o możliwości składania ofert częściowych</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Zamówienie podzielone jest na części: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Tak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Oferty lub wnioski o dopuszczenie do udziału w postępowaniu można składać w odniesieniu do:</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Zamawiający zastrzega sobie prawo do udzielenia łącznie następujących części lub grup części:</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Maksymalna liczba części zamówienia, na które może zostać udzielone zamówienie jednemu wykonawcy:</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II.4)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 )</w:t>
      </w:r>
      <w:r w:rsidRPr="00AD0E17">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AD0E17">
        <w:rPr>
          <w:rFonts w:ascii="Arial" w:eastAsia="Times New Roman" w:hAnsi="Arial" w:cs="Arial"/>
          <w:sz w:val="20"/>
          <w:szCs w:val="20"/>
          <w:lang w:eastAsia="pl-PL"/>
        </w:rPr>
        <w:t xml:space="preserve">Dostawa sprzętu jednorazowego użytku i innych produktów medycznych dla potrzeb Powiatowego Zakładu Opieki Zdrowotnej z siedzibą w Starachowicach ul. Radomska 70 ujętych w Pakietach ( 11 Pakietów) w ilościach uzależnionych od bieżącego zapotrzebowania. W załączeniu wykaz wyrobów medycznych ( załącznik nr 5 do SIWZ) z opisem wymagań minimalnych wyrobu w jednostkach miary i ilości przewidywanego zużycia w okresie 12 miesięcy. Produkty winny spełniać warunki dopuszczenia do obrotu i stosowania na terenie Polski między innymi określone odpowiednio w Ustawie „Prawo farmaceutyczne” oraz w Ustawie o wyrobach medycznych. Warunki bezwzględne i opis przedmiotu zamówienia stanowi formularz – zestawienie wyrobów (załącznik nr 5 do SIWZ) Dostawy winny być realizowane na koszt Wykonawcy w ciągu od min. 2 do max. 5 dni roboczych (kryterium oceny ofert), na podstawie zamówień oraz potrzeb na telefon/fax , transportem Wykonawcy( lub wynajętym środkiem transportu) do magazynu (Apteki) Zamawiającego – PZOZ Starachowice ul. Radomska 70 . Zamawiający może zmniejszyć ilość zamawianego towaru w stosunku do ilości wskazanej w pakiecie bez żadnych skutków prawnych obciążających Zamawiającego. Zmniejszenie to jednak nie będzie większe niż 30% wartości pakietu.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II.5) Główny kod CPV: </w:t>
      </w:r>
      <w:r w:rsidRPr="00AD0E17">
        <w:rPr>
          <w:rFonts w:ascii="Arial" w:eastAsia="Times New Roman" w:hAnsi="Arial" w:cs="Arial"/>
          <w:sz w:val="20"/>
          <w:szCs w:val="20"/>
          <w:lang w:eastAsia="pl-PL"/>
        </w:rPr>
        <w:t xml:space="preserve">33141200-2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Dodatkowe kody CPV:</w:t>
      </w:r>
      <w:r w:rsidRPr="00AD0E17">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Kod CPV</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33141240-4</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33140000-3</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33141000-0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38412000-6</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II.6) Całkowita wartość zamówienia </w:t>
      </w:r>
      <w:r w:rsidRPr="00AD0E17">
        <w:rPr>
          <w:rFonts w:ascii="Arial" w:eastAsia="Times New Roman" w:hAnsi="Arial" w:cs="Arial"/>
          <w:i/>
          <w:iCs/>
          <w:sz w:val="20"/>
          <w:szCs w:val="20"/>
          <w:lang w:eastAsia="pl-PL"/>
        </w:rPr>
        <w:t>(jeżeli zamawiający podaje informacje o wartości zamówienia)</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Wartość bez VAT: </w:t>
      </w:r>
      <w:r w:rsidRPr="00AD0E17">
        <w:rPr>
          <w:rFonts w:ascii="Arial" w:eastAsia="Times New Roman" w:hAnsi="Arial" w:cs="Arial"/>
          <w:sz w:val="20"/>
          <w:szCs w:val="20"/>
          <w:lang w:eastAsia="pl-PL"/>
        </w:rPr>
        <w:br/>
        <w:t xml:space="preserve">Waluta: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AD0E17">
        <w:rPr>
          <w:rFonts w:ascii="Arial" w:eastAsia="Times New Roman" w:hAnsi="Arial" w:cs="Arial"/>
          <w:b/>
          <w:bCs/>
          <w:sz w:val="20"/>
          <w:szCs w:val="20"/>
          <w:lang w:eastAsia="pl-PL"/>
        </w:rPr>
        <w:t>Pzp</w:t>
      </w:r>
      <w:proofErr w:type="spellEnd"/>
      <w:r w:rsidRPr="00AD0E17">
        <w:rPr>
          <w:rFonts w:ascii="Arial" w:eastAsia="Times New Roman" w:hAnsi="Arial" w:cs="Arial"/>
          <w:b/>
          <w:bCs/>
          <w:sz w:val="20"/>
          <w:szCs w:val="20"/>
          <w:lang w:eastAsia="pl-PL"/>
        </w:rPr>
        <w:t xml:space="preserve">: </w:t>
      </w: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miesiącach:   </w:t>
      </w:r>
      <w:r w:rsidRPr="00AD0E17">
        <w:rPr>
          <w:rFonts w:ascii="Arial" w:eastAsia="Times New Roman" w:hAnsi="Arial" w:cs="Arial"/>
          <w:i/>
          <w:iCs/>
          <w:sz w:val="20"/>
          <w:szCs w:val="20"/>
          <w:lang w:eastAsia="pl-PL"/>
        </w:rPr>
        <w:t xml:space="preserve"> lub </w:t>
      </w:r>
      <w:r w:rsidRPr="00AD0E17">
        <w:rPr>
          <w:rFonts w:ascii="Arial" w:eastAsia="Times New Roman" w:hAnsi="Arial" w:cs="Arial"/>
          <w:b/>
          <w:bCs/>
          <w:sz w:val="20"/>
          <w:szCs w:val="20"/>
          <w:lang w:eastAsia="pl-PL"/>
        </w:rPr>
        <w:t>dniach:</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i/>
          <w:iCs/>
          <w:sz w:val="20"/>
          <w:szCs w:val="20"/>
          <w:lang w:eastAsia="pl-PL"/>
        </w:rPr>
        <w:t>lub</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data rozpoczęcia: </w:t>
      </w:r>
      <w:r w:rsidRPr="00AD0E17">
        <w:rPr>
          <w:rFonts w:ascii="Arial" w:eastAsia="Times New Roman" w:hAnsi="Arial" w:cs="Arial"/>
          <w:sz w:val="20"/>
          <w:szCs w:val="20"/>
          <w:lang w:eastAsia="pl-PL"/>
        </w:rPr>
        <w:t> </w:t>
      </w:r>
      <w:r w:rsidRPr="00AD0E17">
        <w:rPr>
          <w:rFonts w:ascii="Arial" w:eastAsia="Times New Roman" w:hAnsi="Arial" w:cs="Arial"/>
          <w:i/>
          <w:iCs/>
          <w:sz w:val="20"/>
          <w:szCs w:val="20"/>
          <w:lang w:eastAsia="pl-PL"/>
        </w:rPr>
        <w:t xml:space="preserve"> lub </w:t>
      </w:r>
      <w:r w:rsidRPr="00AD0E17">
        <w:rPr>
          <w:rFonts w:ascii="Arial" w:eastAsia="Times New Roman" w:hAnsi="Arial" w:cs="Arial"/>
          <w:b/>
          <w:bCs/>
          <w:sz w:val="20"/>
          <w:szCs w:val="20"/>
          <w:lang w:eastAsia="pl-PL"/>
        </w:rPr>
        <w:t xml:space="preserve">zakończenia: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II.9) Informacje dodatkowe: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u w:val="single"/>
          <w:lang w:eastAsia="pl-PL"/>
        </w:rPr>
        <w:t xml:space="preserve">SEKCJA III: INFORMACJE O CHARAKTERZE PRAWNYM, EKONOMICZNYM, FINANSOWYM I TECHNICZNYM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III.1) WARUNKI UDZIAŁU W POSTĘPOWANIU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III.1.1) Kompetencje lub uprawnienia do prowadzenia określonej działalności zawodowej, o ile wynika to z odrębnych przepisów</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Określenie warunków: aktualnego odpisu z właściwego rejestru lub z centralnej ewidencji i informacji o działalności gospodarczej, jeżeli odrębne przepisy wymagają wpisu do rejestru lub ewidencji, w celu potwierdzenia braku podstaw wykluczenia na podstawie art. 24 ust. 5 pkt 1 ustawy, koncesja, zezwolenie, licencja lub dokument potwierdzający, że wykonawca jest wpisany do jednego z rejestrów zawodowych lub handlowych, </w:t>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III.1.2) Sytuacja finansowa lub ekonomiczna </w:t>
      </w:r>
      <w:r w:rsidRPr="00AD0E17">
        <w:rPr>
          <w:rFonts w:ascii="Arial" w:eastAsia="Times New Roman" w:hAnsi="Arial" w:cs="Arial"/>
          <w:sz w:val="20"/>
          <w:szCs w:val="20"/>
          <w:lang w:eastAsia="pl-PL"/>
        </w:rPr>
        <w:br/>
        <w:t xml:space="preserve">Określenie warunków: informacji potwierdzających, że wykonawca jest ubezpieczony od odpowiedzialności cywilnej w zakresie prowadzonej działalności związanej z przedmiotem zamówienia na sumę ubezpieczenia (sumę gwarancyjną), równą co najmniej 10 000,00 zł. </w:t>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III.1.3) Zdolność techniczna lub zawodowa </w:t>
      </w:r>
      <w:r w:rsidRPr="00AD0E17">
        <w:rPr>
          <w:rFonts w:ascii="Arial" w:eastAsia="Times New Roman" w:hAnsi="Arial" w:cs="Arial"/>
          <w:sz w:val="20"/>
          <w:szCs w:val="20"/>
          <w:lang w:eastAsia="pl-PL"/>
        </w:rPr>
        <w:br/>
        <w:t xml:space="preserve">Określenie warunków: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w:t>
      </w:r>
      <w:r w:rsidRPr="00AD0E17">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D0E17">
        <w:rPr>
          <w:rFonts w:ascii="Arial" w:eastAsia="Times New Roman" w:hAnsi="Arial" w:cs="Arial"/>
          <w:sz w:val="20"/>
          <w:szCs w:val="20"/>
          <w:lang w:eastAsia="pl-PL"/>
        </w:rPr>
        <w:br/>
        <w:t xml:space="preserve">Informacje dodatkowe: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III.2) PODSTAWY WYKLUCZENIA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III.2.1) Podstawy wykluczenia określone w art. 24 ust. 1 ustawy </w:t>
      </w:r>
      <w:proofErr w:type="spellStart"/>
      <w:r w:rsidRPr="00AD0E17">
        <w:rPr>
          <w:rFonts w:ascii="Arial" w:eastAsia="Times New Roman" w:hAnsi="Arial" w:cs="Arial"/>
          <w:b/>
          <w:bCs/>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III.2.2) Zamawiający przewiduje wykluczenie wykonawcy na podstawie art. 24 ust. 5 ustawy </w:t>
      </w:r>
      <w:proofErr w:type="spellStart"/>
      <w:r w:rsidRPr="00AD0E17">
        <w:rPr>
          <w:rFonts w:ascii="Arial" w:eastAsia="Times New Roman" w:hAnsi="Arial" w:cs="Arial"/>
          <w:b/>
          <w:bCs/>
          <w:sz w:val="20"/>
          <w:szCs w:val="20"/>
          <w:lang w:eastAsia="pl-PL"/>
        </w:rPr>
        <w:t>Pzp</w:t>
      </w:r>
      <w:proofErr w:type="spellEnd"/>
      <w:r w:rsidRPr="00AD0E17">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2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3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4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5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6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7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Tak (podstawa wykluczenia określona w art. 24 ust. 5 pkt 8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Oświadczenie o niepodleganiu wykluczeniu oraz spełnianiu warunków udziału w postępowaniu </w:t>
      </w:r>
      <w:r w:rsidRPr="00AD0E17">
        <w:rPr>
          <w:rFonts w:ascii="Arial" w:eastAsia="Times New Roman" w:hAnsi="Arial" w:cs="Arial"/>
          <w:sz w:val="20"/>
          <w:szCs w:val="20"/>
          <w:lang w:eastAsia="pl-PL"/>
        </w:rPr>
        <w:br/>
        <w:t xml:space="preserve">Nie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Oświadczenie o spełnianiu kryteriów selekcji </w:t>
      </w:r>
      <w:r w:rsidRPr="00AD0E17">
        <w:rPr>
          <w:rFonts w:ascii="Arial" w:eastAsia="Times New Roman" w:hAnsi="Arial" w:cs="Arial"/>
          <w:sz w:val="20"/>
          <w:szCs w:val="20"/>
          <w:lang w:eastAsia="pl-PL"/>
        </w:rPr>
        <w:b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aktualnego odpisu z właściwego rejestru lub z centralnej ewidencji i informacji o działalności gospodarczej, jeżeli odrębne przepisy wymagają wpisu do rejestru lub ewidencji, w celu potwierdzenia braku podstaw wykluczenia na podstawie art. 24 ust. 5 pkt 1 ustawy,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III.5.1) W ZAKRESIE SPEŁNIANIA WARUNKÓW UDZIAŁU W POSTĘPOWANIU:</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koncesji, zezwolenia lub licencji lub dokumentu, potwierdzającego, że wykonawca jest wpisany do jednego z rejestrów zawodowych lub handlowych, prowadzonych w państwie członkowskim Unii Europejskiej, w którym wykonawca ma siedzibę lub miejsce zamieszkania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III.5.2) W ZAKRESIE KRYTERIÓW SELEKCJI:</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W celu potwierdzenia, że oferowane dostawy, usługi, lub roboty budowlane odpowiadają wymaganiom określonym w niniejszej specyfikacji istotnych warunków zamówienia do oferty należy dołączyć następujące dokumenty: 4.1 zaświadczenia podmiotu uprawnionego do kontroli jakości potwierdzającego, że dostarczane wyroby odpowiadają określonym normom lub specyfikacjom technicznym - lub równoważne zaświadczenie wystawione przez podmiot mający siedzibę w innym państwie członkowskim Europejskiego Obszaru Gospodarczego 4.2 Oświadczenie Wykonawcy, że oferowany przedmiot zamówienia posiada deklarację zgodności EC, lub certyfikat CE i jest dopuszczony do obrotu na rynku zgodnie z Ustawą z dnia 20.05.2010 r. o wyrobach </w:t>
      </w:r>
      <w:proofErr w:type="spellStart"/>
      <w:r w:rsidRPr="00AD0E17">
        <w:rPr>
          <w:rFonts w:ascii="Arial" w:eastAsia="Times New Roman" w:hAnsi="Arial" w:cs="Arial"/>
          <w:sz w:val="20"/>
          <w:szCs w:val="20"/>
          <w:lang w:eastAsia="pl-PL"/>
        </w:rPr>
        <w:t>medycznych.opisy</w:t>
      </w:r>
      <w:proofErr w:type="spellEnd"/>
      <w:r w:rsidRPr="00AD0E17">
        <w:rPr>
          <w:rFonts w:ascii="Arial" w:eastAsia="Times New Roman" w:hAnsi="Arial" w:cs="Arial"/>
          <w:sz w:val="20"/>
          <w:szCs w:val="20"/>
          <w:lang w:eastAsia="pl-PL"/>
        </w:rPr>
        <w:t xml:space="preserve">, zdjęcia katalogowe wyrobów przedstawiające cechy, numery, rozmiary każdego z proponowanych w ofercie asortymentów - z zaznaczeniem Pakietu i pozycji której dotyczą. Zamawiający zastrzega sobie prawo wezwania Wykonawcy do przedstawienia dokumentów rejestracji produktów, dokumentu potwierdzającego rejestrację/zgłoszenia produktu leczniczego. Zamawiający wymaga dostarczenia przez Wykonawców próbek oferowanego produktu w celu potwierdzenia wymagań opisanych w załączniku nr 5 do SIWZ. Ilość próbek - do jakich pakietów i pozycji - uwzględniona w załączniku nr 5 do SIWZ – załącznik ofertowy. Próbki powinny być zapakowane i opisane w sposób pozwalający na jednoznaczne ustalenie, której oferty dotyczą. Opis powinien zawierać nazwę Wykonawcy oraz nazwę i numer pozycji w zadaniu. Próbki należy dostarczyć wraz z ofertą do kancelarii (sekretariatu) PZOZ w Starachowicach ul. Radomska 70 przed upływem terminu składania ofert.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III.7) INNE DOKUMENTY NIE WYMIENIONE W pkt III.3) - III.6)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oświadczenie wykonawcy składane na podstawie art. 25a ust.1 </w:t>
      </w:r>
      <w:proofErr w:type="spellStart"/>
      <w:r w:rsidRPr="00AD0E17">
        <w:rPr>
          <w:rFonts w:ascii="Arial" w:eastAsia="Times New Roman" w:hAnsi="Arial" w:cs="Arial"/>
          <w:sz w:val="20"/>
          <w:szCs w:val="20"/>
          <w:lang w:eastAsia="pl-PL"/>
        </w:rPr>
        <w:t>uPZP</w:t>
      </w:r>
      <w:proofErr w:type="spellEnd"/>
      <w:r w:rsidRPr="00AD0E17">
        <w:rPr>
          <w:rFonts w:ascii="Arial" w:eastAsia="Times New Roman" w:hAnsi="Arial" w:cs="Arial"/>
          <w:sz w:val="20"/>
          <w:szCs w:val="20"/>
          <w:lang w:eastAsia="pl-PL"/>
        </w:rPr>
        <w:t xml:space="preserve"> o nie podleganiu wykluczeniu na podstawie art. 24 ust.1 pkt 12-23 i art. 24 ust. 5 - zgodnie ze wzorem stanowiącym załącznik nr 2 do SIWZ oświadczenie wykonawcy składane na podstawie art. 25a ust.1 </w:t>
      </w:r>
      <w:proofErr w:type="spellStart"/>
      <w:r w:rsidRPr="00AD0E17">
        <w:rPr>
          <w:rFonts w:ascii="Arial" w:eastAsia="Times New Roman" w:hAnsi="Arial" w:cs="Arial"/>
          <w:sz w:val="20"/>
          <w:szCs w:val="20"/>
          <w:lang w:eastAsia="pl-PL"/>
        </w:rPr>
        <w:t>uPZP</w:t>
      </w:r>
      <w:proofErr w:type="spellEnd"/>
      <w:r w:rsidRPr="00AD0E17">
        <w:rPr>
          <w:rFonts w:ascii="Arial" w:eastAsia="Times New Roman" w:hAnsi="Arial" w:cs="Arial"/>
          <w:sz w:val="20"/>
          <w:szCs w:val="20"/>
          <w:lang w:eastAsia="pl-PL"/>
        </w:rPr>
        <w:t xml:space="preserve"> dotyczące spełnienia warunków udziału w postępowaniu - zgodnie ze wzorem stanowiącym załącznik nr 3 do SIWZ inne dokumenty: formularz ofertowy (wzór stanowi zał. nr 1 do niniejszej SIWZ), wykaz asortymentu z cenami i opisem przedmiotu zamówienia z wymaganiami minimalnymi (wzór stanowi załącznik nr 5 do niniejszej specyfikacji istotnych warunków zamówienia) wypełniony i podpisany przez Wykonawcę. pełnomocnictwo/umocowanie prawne, w przypadku gdy ofertę, składane dokumenty i oświadczenia podpisuje osoba nie widniejąca w dokumentach rejestrowych wykonawca w terminie 3 dni od dnia zamieszczenia na stronie internetowej informacji, o której mowa w art. 86 ust. 3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AD0E17">
        <w:rPr>
          <w:rFonts w:ascii="Arial" w:eastAsia="Times New Roman" w:hAnsi="Arial" w:cs="Arial"/>
          <w:sz w:val="20"/>
          <w:szCs w:val="20"/>
          <w:lang w:eastAsia="pl-PL"/>
        </w:rPr>
        <w:t>Pzp</w:t>
      </w:r>
      <w:proofErr w:type="spellEnd"/>
      <w:r w:rsidRPr="00AD0E17">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(wzór stanowi załącznik nr 6 do SIWZ),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u w:val="single"/>
          <w:lang w:eastAsia="pl-PL"/>
        </w:rPr>
        <w:t xml:space="preserve">SEKCJA IV: PROCEDURA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IV.1) OPIS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IV.1.1) Tryb udzielenia zamówienia: </w:t>
      </w:r>
      <w:r w:rsidRPr="00AD0E17">
        <w:rPr>
          <w:rFonts w:ascii="Arial" w:eastAsia="Times New Roman" w:hAnsi="Arial" w:cs="Arial"/>
          <w:sz w:val="20"/>
          <w:szCs w:val="20"/>
          <w:lang w:eastAsia="pl-PL"/>
        </w:rPr>
        <w:t xml:space="preserve">Przetarg nieograniczony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IV.1.2) Zamawiający żąda wniesienia wadium:</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Informacja na temat wadium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IV.1.3) Przewiduje się udzielenie zaliczek na poczet wykonania zamówienia:</w:t>
      </w:r>
      <w:r w:rsidRPr="00AD0E17">
        <w:rPr>
          <w:rFonts w:ascii="Arial" w:eastAsia="Times New Roman" w:hAnsi="Arial" w:cs="Arial"/>
          <w:sz w:val="20"/>
          <w:szCs w:val="20"/>
          <w:lang w:eastAsia="pl-PL"/>
        </w:rPr>
        <w:t xml:space="preserv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Należy podać informacje na temat udzielania zaliczek: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IV.1.4) Wymaga się złożenia ofert w postaci katalogów elektronicznych lub dołączenia do ofert katalogów elektronicznych: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Dopuszcza się złożenie ofert w postaci katalogów elektronicznych lub dołączenia do ofert katalogów elektronicznych: </w:t>
      </w:r>
      <w:r w:rsidRPr="00AD0E17">
        <w:rPr>
          <w:rFonts w:ascii="Arial" w:eastAsia="Times New Roman" w:hAnsi="Arial" w:cs="Arial"/>
          <w:sz w:val="20"/>
          <w:szCs w:val="20"/>
          <w:lang w:eastAsia="pl-PL"/>
        </w:rPr>
        <w:br/>
        <w:t xml:space="preserve">Nie </w:t>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IV.1.5.) Wymaga się złożenia oferty wariantowej: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Dopuszcza się złożenie oferty wariantowej </w:t>
      </w:r>
      <w:r w:rsidRPr="00AD0E17">
        <w:rPr>
          <w:rFonts w:ascii="Arial" w:eastAsia="Times New Roman" w:hAnsi="Arial" w:cs="Arial"/>
          <w:sz w:val="20"/>
          <w:szCs w:val="20"/>
          <w:lang w:eastAsia="pl-PL"/>
        </w:rPr>
        <w:br/>
        <w:t xml:space="preserve">Nie </w:t>
      </w:r>
      <w:r w:rsidRPr="00AD0E17">
        <w:rPr>
          <w:rFonts w:ascii="Arial" w:eastAsia="Times New Roman" w:hAnsi="Arial" w:cs="Arial"/>
          <w:sz w:val="20"/>
          <w:szCs w:val="20"/>
          <w:lang w:eastAsia="pl-PL"/>
        </w:rPr>
        <w:br/>
        <w:t xml:space="preserve">Złożenie oferty wariantowej dopuszcza się tylko z jednoczesnym złożeniem oferty zasadniczej: </w:t>
      </w:r>
      <w:r w:rsidRPr="00AD0E17">
        <w:rPr>
          <w:rFonts w:ascii="Arial" w:eastAsia="Times New Roman" w:hAnsi="Arial" w:cs="Arial"/>
          <w:sz w:val="20"/>
          <w:szCs w:val="20"/>
          <w:lang w:eastAsia="pl-PL"/>
        </w:rPr>
        <w:br/>
        <w:t xml:space="preserve">Nie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IV.1.6) Przewidywana liczba wykonawców, którzy zostaną zaproszeni do udziału w postępowaniu </w:t>
      </w:r>
      <w:r w:rsidRPr="00AD0E17">
        <w:rPr>
          <w:rFonts w:ascii="Arial" w:eastAsia="Times New Roman" w:hAnsi="Arial" w:cs="Arial"/>
          <w:sz w:val="20"/>
          <w:szCs w:val="20"/>
          <w:lang w:eastAsia="pl-PL"/>
        </w:rPr>
        <w:br/>
      </w:r>
      <w:r w:rsidRPr="00AD0E17">
        <w:rPr>
          <w:rFonts w:ascii="Arial" w:eastAsia="Times New Roman" w:hAnsi="Arial" w:cs="Arial"/>
          <w:i/>
          <w:iCs/>
          <w:sz w:val="20"/>
          <w:szCs w:val="20"/>
          <w:lang w:eastAsia="pl-PL"/>
        </w:rPr>
        <w:t xml:space="preserve">(przetarg ograniczony, negocjacje z ogłoszeniem, dialog konkurencyjny, partnerstwo innowacyjne)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Liczba wykonawców   </w:t>
      </w:r>
      <w:r w:rsidRPr="00AD0E17">
        <w:rPr>
          <w:rFonts w:ascii="Arial" w:eastAsia="Times New Roman" w:hAnsi="Arial" w:cs="Arial"/>
          <w:sz w:val="20"/>
          <w:szCs w:val="20"/>
          <w:lang w:eastAsia="pl-PL"/>
        </w:rPr>
        <w:br/>
        <w:t xml:space="preserve">Przewidywana minimalna liczba wykonawców </w:t>
      </w:r>
      <w:r w:rsidRPr="00AD0E17">
        <w:rPr>
          <w:rFonts w:ascii="Arial" w:eastAsia="Times New Roman" w:hAnsi="Arial" w:cs="Arial"/>
          <w:sz w:val="20"/>
          <w:szCs w:val="20"/>
          <w:lang w:eastAsia="pl-PL"/>
        </w:rPr>
        <w:br/>
        <w:t xml:space="preserve">Maksymalna liczba wykonawców   </w:t>
      </w:r>
      <w:r w:rsidRPr="00AD0E17">
        <w:rPr>
          <w:rFonts w:ascii="Arial" w:eastAsia="Times New Roman" w:hAnsi="Arial" w:cs="Arial"/>
          <w:sz w:val="20"/>
          <w:szCs w:val="20"/>
          <w:lang w:eastAsia="pl-PL"/>
        </w:rPr>
        <w:br/>
        <w:t xml:space="preserve">Kryteria selekcji wykonawców: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IV.1.7) Informacje na temat umowy ramowej lub dynamicznego systemu zakupów: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Umowa ramowa będzie zawarta: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Czy przewiduje się ograniczenie liczby uczestników umowy ramowej: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Przewidziana maksymalna liczba uczestników umowy ramowej: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Zamówienie obejmuje ustanowienie dynamicznego systemu zakupów: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W ramach umowy ramowej/dynamicznego systemu zakupów dopuszcza się złożenie ofert w formie katalogów elektronicznych: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IV.1.8) Aukcja elektroniczna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Przewidziane jest przeprowadzenie aukcji elektronicznej </w:t>
      </w:r>
      <w:r w:rsidRPr="00AD0E17">
        <w:rPr>
          <w:rFonts w:ascii="Arial" w:eastAsia="Times New Roman" w:hAnsi="Arial" w:cs="Arial"/>
          <w:i/>
          <w:iCs/>
          <w:sz w:val="20"/>
          <w:szCs w:val="20"/>
          <w:lang w:eastAsia="pl-PL"/>
        </w:rPr>
        <w:t xml:space="preserve">(przetarg nieograniczony, przetarg ograniczony, negocjacje z ogłoszeniem) </w:t>
      </w:r>
      <w:r w:rsidRPr="00AD0E17">
        <w:rPr>
          <w:rFonts w:ascii="Arial" w:eastAsia="Times New Roman" w:hAnsi="Arial" w:cs="Arial"/>
          <w:sz w:val="20"/>
          <w:szCs w:val="20"/>
          <w:lang w:eastAsia="pl-PL"/>
        </w:rPr>
        <w:t xml:space="preserve">Nie </w:t>
      </w:r>
      <w:r w:rsidRPr="00AD0E17">
        <w:rPr>
          <w:rFonts w:ascii="Arial" w:eastAsia="Times New Roman" w:hAnsi="Arial" w:cs="Arial"/>
          <w:sz w:val="20"/>
          <w:szCs w:val="20"/>
          <w:lang w:eastAsia="pl-PL"/>
        </w:rPr>
        <w:br/>
        <w:t xml:space="preserve">Należy podać adres strony internetowej, na której aukcja będzie prowadzona: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Należy wskazać elementy, których wartości będą przedmiotem aukcji elektronicznej: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Przewiduje się ograniczenia co do przedstawionych wartości, wynikające z opisu przedmiotu zamówienia:</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AD0E17">
        <w:rPr>
          <w:rFonts w:ascii="Arial" w:eastAsia="Times New Roman" w:hAnsi="Arial" w:cs="Arial"/>
          <w:sz w:val="20"/>
          <w:szCs w:val="20"/>
          <w:lang w:eastAsia="pl-PL"/>
        </w:rPr>
        <w:br/>
        <w:t xml:space="preserve">Informacje dotyczące przebiegu aukcji elektronicznej: </w:t>
      </w:r>
      <w:r w:rsidRPr="00AD0E17">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AD0E17">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AD0E17">
        <w:rPr>
          <w:rFonts w:ascii="Arial" w:eastAsia="Times New Roman" w:hAnsi="Arial" w:cs="Arial"/>
          <w:sz w:val="20"/>
          <w:szCs w:val="20"/>
          <w:lang w:eastAsia="pl-PL"/>
        </w:rPr>
        <w:br/>
        <w:t xml:space="preserve">Wymagania dotyczące rejestracji i identyfikacji wykonawców w aukcji elektronicznej: </w:t>
      </w:r>
      <w:r w:rsidRPr="00AD0E17">
        <w:rPr>
          <w:rFonts w:ascii="Arial" w:eastAsia="Times New Roman" w:hAnsi="Arial" w:cs="Arial"/>
          <w:sz w:val="20"/>
          <w:szCs w:val="20"/>
          <w:lang w:eastAsia="pl-PL"/>
        </w:rPr>
        <w:br/>
        <w:t xml:space="preserve">Informacje o liczbie etapów aukcji elektronicznej i czasie ich trwania: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t xml:space="preserve">Czas trwania: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Czy wykonawcy, którzy nie złożyli nowych postąpień, zostaną zakwalifikowani do następnego etapu: </w:t>
      </w:r>
      <w:r w:rsidRPr="00AD0E17">
        <w:rPr>
          <w:rFonts w:ascii="Arial" w:eastAsia="Times New Roman" w:hAnsi="Arial" w:cs="Arial"/>
          <w:sz w:val="20"/>
          <w:szCs w:val="20"/>
          <w:lang w:eastAsia="pl-PL"/>
        </w:rPr>
        <w:br/>
        <w:t xml:space="preserve">Warunki zamknięcia aukcji elektronicznej: </w:t>
      </w:r>
      <w:r w:rsidRPr="00AD0E17">
        <w:rPr>
          <w:rFonts w:ascii="Arial" w:eastAsia="Times New Roman" w:hAnsi="Arial" w:cs="Arial"/>
          <w:sz w:val="20"/>
          <w:szCs w:val="20"/>
          <w:lang w:eastAsia="pl-PL"/>
        </w:rPr>
        <w:br/>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IV.2) KRYTERIA OCENY OFERT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IV.2.1) Kryteria oceny ofert: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IV.2.2) Kryteria</w:t>
      </w:r>
      <w:r w:rsidRPr="00AD0E17">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IV.2.3) Zastosowanie procedury, o której mowa w art. 24aa ust. 1 ustawy </w:t>
      </w:r>
      <w:proofErr w:type="spellStart"/>
      <w:r w:rsidRPr="00AD0E17">
        <w:rPr>
          <w:rFonts w:ascii="Arial" w:eastAsia="Times New Roman" w:hAnsi="Arial" w:cs="Arial"/>
          <w:b/>
          <w:bCs/>
          <w:sz w:val="20"/>
          <w:szCs w:val="20"/>
          <w:lang w:eastAsia="pl-PL"/>
        </w:rPr>
        <w:t>Pzp</w:t>
      </w:r>
      <w:proofErr w:type="spellEnd"/>
      <w:r w:rsidRPr="00AD0E17">
        <w:rPr>
          <w:rFonts w:ascii="Arial" w:eastAsia="Times New Roman" w:hAnsi="Arial" w:cs="Arial"/>
          <w:b/>
          <w:bCs/>
          <w:sz w:val="20"/>
          <w:szCs w:val="20"/>
          <w:lang w:eastAsia="pl-PL"/>
        </w:rPr>
        <w:t xml:space="preserve"> </w:t>
      </w:r>
      <w:r w:rsidRPr="00AD0E17">
        <w:rPr>
          <w:rFonts w:ascii="Arial" w:eastAsia="Times New Roman" w:hAnsi="Arial" w:cs="Arial"/>
          <w:sz w:val="20"/>
          <w:szCs w:val="20"/>
          <w:lang w:eastAsia="pl-PL"/>
        </w:rPr>
        <w:t xml:space="preserve">(przetarg nieograniczony) </w:t>
      </w:r>
      <w:r w:rsidRPr="00AD0E17">
        <w:rPr>
          <w:rFonts w:ascii="Arial" w:eastAsia="Times New Roman" w:hAnsi="Arial" w:cs="Arial"/>
          <w:sz w:val="20"/>
          <w:szCs w:val="20"/>
          <w:lang w:eastAsia="pl-PL"/>
        </w:rPr>
        <w:br/>
        <w:t xml:space="preserve">Nie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IV.3) Negocjacje z ogłoszeniem, dialog konkurencyjny, partnerstwo innowacyjne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IV.3.1) Informacje na temat negocjacji z ogłoszeniem</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Minimalne wymagania, które muszą spełniać wszystkie oferty: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AD0E17">
        <w:rPr>
          <w:rFonts w:ascii="Arial" w:eastAsia="Times New Roman" w:hAnsi="Arial" w:cs="Arial"/>
          <w:sz w:val="20"/>
          <w:szCs w:val="20"/>
          <w:lang w:eastAsia="pl-PL"/>
        </w:rPr>
        <w:br/>
        <w:t xml:space="preserve">Przewidziany jest podział negocjacji na etapy w celu ograniczenia liczby ofert: Nie </w:t>
      </w:r>
      <w:r w:rsidRPr="00AD0E17">
        <w:rPr>
          <w:rFonts w:ascii="Arial" w:eastAsia="Times New Roman" w:hAnsi="Arial" w:cs="Arial"/>
          <w:sz w:val="20"/>
          <w:szCs w:val="20"/>
          <w:lang w:eastAsia="pl-PL"/>
        </w:rPr>
        <w:br/>
        <w:t xml:space="preserve">Należy podać informacje na temat etapów negocjacji (w tym liczbę etapów):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IV.3.2) Informacje na temat dialogu konkurencyjnego</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Opis potrzeb i wymagań zamawiającego lub informacja o sposobie uzyskania tego opisu: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Wstępny harmonogram postępowania: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Podział dialogu na etapy w celu ograniczenia liczby rozwiązań: </w:t>
      </w:r>
      <w:r w:rsidRPr="00AD0E17">
        <w:rPr>
          <w:rFonts w:ascii="Arial" w:eastAsia="Times New Roman" w:hAnsi="Arial" w:cs="Arial"/>
          <w:sz w:val="20"/>
          <w:szCs w:val="20"/>
          <w:lang w:eastAsia="pl-PL"/>
        </w:rPr>
        <w:br/>
        <w:t xml:space="preserve">Należy podać informacje na temat etapów dialogu: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IV.3.3) Informacje na temat partnerstwa innowacyjnego</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t xml:space="preserve">Elementy opisu przedmiotu zamówienia definiujące minimalne wymagania, którym muszą odpowiadać wszystkie oferty: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Informacje dodatkowe: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IV.4) Licytacja elektroniczna </w:t>
      </w:r>
      <w:r w:rsidRPr="00AD0E17">
        <w:rPr>
          <w:rFonts w:ascii="Arial" w:eastAsia="Times New Roman" w:hAnsi="Arial" w:cs="Arial"/>
          <w:sz w:val="20"/>
          <w:szCs w:val="20"/>
          <w:lang w:eastAsia="pl-PL"/>
        </w:rPr>
        <w:br/>
        <w:t xml:space="preserve">Adres strony internetowej, na której będzie prowadzona licytacja elektroniczna: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Adres strony internetowej, na której jest dostępny opis przedmiotu zamówienia w licytacji elektronicznej: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Sposób postępowania w toku licytacji elektronicznej, w tym określenie minimalnych wysokości postąpień: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Informacje o liczbie etapów licytacji elektronicznej i czasie ich trwania: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Czas trwania: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Wykonawcy, którzy nie złożyli nowych postąpień, zostaną zakwalifikowani do następnego etapu: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składania wniosków o dopuszczenie do udziału w licytacji elektronicznej: </w:t>
      </w:r>
      <w:r w:rsidRPr="00AD0E17">
        <w:rPr>
          <w:rFonts w:ascii="Arial" w:eastAsia="Times New Roman" w:hAnsi="Arial" w:cs="Arial"/>
          <w:sz w:val="20"/>
          <w:szCs w:val="20"/>
          <w:lang w:eastAsia="pl-PL"/>
        </w:rPr>
        <w:br/>
        <w:t xml:space="preserve">Data: godzina: </w:t>
      </w:r>
      <w:r w:rsidRPr="00AD0E17">
        <w:rPr>
          <w:rFonts w:ascii="Arial" w:eastAsia="Times New Roman" w:hAnsi="Arial" w:cs="Arial"/>
          <w:sz w:val="20"/>
          <w:szCs w:val="20"/>
          <w:lang w:eastAsia="pl-PL"/>
        </w:rPr>
        <w:br/>
        <w:t xml:space="preserve">Termin otwarcia licytacji elektronicznej: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i warunki zamknięcia licytacji elektronicznej: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t xml:space="preserve">Istotne dla stron postanowienia, które zostaną wprowadzone do treści zawieranej umowy w sprawie zamówienia publicznego, albo ogólne warunki umowy, albo wzór umowy: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t xml:space="preserve">Wymagania dotyczące zabezpieczenia należytego wykonania umowy: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t xml:space="preserve">Informacje dodatkowe: </w:t>
      </w:r>
    </w:p>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IV.5) ZMIANA UMOWY</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AD0E17">
        <w:rPr>
          <w:rFonts w:ascii="Arial" w:eastAsia="Times New Roman" w:hAnsi="Arial" w:cs="Arial"/>
          <w:sz w:val="20"/>
          <w:szCs w:val="20"/>
          <w:lang w:eastAsia="pl-PL"/>
        </w:rPr>
        <w:t xml:space="preserve"> Tak </w:t>
      </w:r>
      <w:r w:rsidRPr="00AD0E17">
        <w:rPr>
          <w:rFonts w:ascii="Arial" w:eastAsia="Times New Roman" w:hAnsi="Arial" w:cs="Arial"/>
          <w:sz w:val="20"/>
          <w:szCs w:val="20"/>
          <w:lang w:eastAsia="pl-PL"/>
        </w:rPr>
        <w:br/>
        <w:t xml:space="preserve">Należy wskazać zakres, charakter zmian oraz warunki wprowadzenia zmian: </w:t>
      </w:r>
      <w:r w:rsidRPr="00AD0E17">
        <w:rPr>
          <w:rFonts w:ascii="Arial" w:eastAsia="Times New Roman" w:hAnsi="Arial" w:cs="Arial"/>
          <w:sz w:val="20"/>
          <w:szCs w:val="20"/>
          <w:lang w:eastAsia="pl-PL"/>
        </w:rPr>
        <w:b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AD0E17">
        <w:rPr>
          <w:rFonts w:ascii="Arial" w:eastAsia="Times New Roman" w:hAnsi="Arial" w:cs="Arial"/>
          <w:sz w:val="20"/>
          <w:szCs w:val="20"/>
          <w:lang w:eastAsia="pl-PL"/>
        </w:rPr>
        <w:t>lit.’a</w:t>
      </w:r>
      <w:proofErr w:type="spellEnd"/>
      <w:r w:rsidRPr="00AD0E17">
        <w:rPr>
          <w:rFonts w:ascii="Arial" w:eastAsia="Times New Roman" w:hAnsi="Arial" w:cs="Arial"/>
          <w:sz w:val="20"/>
          <w:szCs w:val="20"/>
          <w:lang w:eastAsia="pl-PL"/>
        </w:rPr>
        <w:t xml:space="preserve">” i „d”.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IV.6) INFORMACJE ADMINISTRACYJNE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IV.6.1) Sposób udostępniania informacji o charakterze poufnym </w:t>
      </w:r>
      <w:r w:rsidRPr="00AD0E17">
        <w:rPr>
          <w:rFonts w:ascii="Arial" w:eastAsia="Times New Roman" w:hAnsi="Arial" w:cs="Arial"/>
          <w:i/>
          <w:iCs/>
          <w:sz w:val="20"/>
          <w:szCs w:val="20"/>
          <w:lang w:eastAsia="pl-PL"/>
        </w:rPr>
        <w:t xml:space="preserve">(jeżeli dotyczy):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Środki służące ochronie informacji o charakterze poufnym</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IV.6.2) Termin składania ofert lub wniosków o dopuszczenie do udziału w postępowaniu: </w:t>
      </w:r>
      <w:r w:rsidRPr="00AD0E17">
        <w:rPr>
          <w:rFonts w:ascii="Arial" w:eastAsia="Times New Roman" w:hAnsi="Arial" w:cs="Arial"/>
          <w:sz w:val="20"/>
          <w:szCs w:val="20"/>
          <w:lang w:eastAsia="pl-PL"/>
        </w:rPr>
        <w:br/>
        <w:t xml:space="preserve">Data: 2017-07-25, godzina: 12:00, </w:t>
      </w:r>
      <w:r w:rsidRPr="00AD0E17">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Wskazać powody: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t xml:space="preserve">Język lub języki, w jakich mogą być sporządzane oferty lub wnioski o dopuszczenie do udziału w postępowaniu </w:t>
      </w:r>
      <w:r w:rsidRPr="00AD0E17">
        <w:rPr>
          <w:rFonts w:ascii="Arial" w:eastAsia="Times New Roman" w:hAnsi="Arial" w:cs="Arial"/>
          <w:sz w:val="20"/>
          <w:szCs w:val="20"/>
          <w:lang w:eastAsia="pl-PL"/>
        </w:rPr>
        <w:br/>
        <w:t xml:space="preserve">&gt;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IV.6.3) Termin związania ofertą: </w:t>
      </w:r>
      <w:r w:rsidRPr="00AD0E17">
        <w:rPr>
          <w:rFonts w:ascii="Arial" w:eastAsia="Times New Roman" w:hAnsi="Arial" w:cs="Arial"/>
          <w:sz w:val="20"/>
          <w:szCs w:val="20"/>
          <w:lang w:eastAsia="pl-PL"/>
        </w:rPr>
        <w:t xml:space="preserve">do: okres w dniach: 30 (od ostatecznego terminu składania ofert)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D0E17">
        <w:rPr>
          <w:rFonts w:ascii="Arial" w:eastAsia="Times New Roman" w:hAnsi="Arial" w:cs="Arial"/>
          <w:sz w:val="20"/>
          <w:szCs w:val="20"/>
          <w:lang w:eastAsia="pl-PL"/>
        </w:rPr>
        <w:t xml:space="preserve"> Nie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D0E17">
        <w:rPr>
          <w:rFonts w:ascii="Arial" w:eastAsia="Times New Roman" w:hAnsi="Arial" w:cs="Arial"/>
          <w:sz w:val="20"/>
          <w:szCs w:val="20"/>
          <w:lang w:eastAsia="pl-PL"/>
        </w:rPr>
        <w:t xml:space="preserve"> Nie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IV.6.6) Informacje dodatkowe:</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p>
    <w:p w:rsidR="00AD0E17" w:rsidRPr="00AD0E17" w:rsidRDefault="00AD0E17" w:rsidP="00AD0E17">
      <w:pPr>
        <w:spacing w:after="0" w:line="240" w:lineRule="auto"/>
        <w:jc w:val="center"/>
        <w:rPr>
          <w:rFonts w:ascii="Arial" w:eastAsia="Times New Roman" w:hAnsi="Arial" w:cs="Arial"/>
          <w:sz w:val="20"/>
          <w:szCs w:val="20"/>
          <w:lang w:eastAsia="pl-PL"/>
        </w:rPr>
      </w:pPr>
      <w:r w:rsidRPr="00AD0E17">
        <w:rPr>
          <w:rFonts w:ascii="Arial" w:eastAsia="Times New Roman" w:hAnsi="Arial" w:cs="Arial"/>
          <w:sz w:val="20"/>
          <w:szCs w:val="20"/>
          <w:u w:val="single"/>
          <w:lang w:eastAsia="pl-PL"/>
        </w:rPr>
        <w:t xml:space="preserve">ZAŁĄCZNIK I - INFORMACJE DOTYCZĄCE OFERT CZĘŚCIOWYCH </w:t>
      </w:r>
    </w:p>
    <w:p w:rsidR="00AD0E17" w:rsidRPr="00AD0E17" w:rsidRDefault="00AD0E17" w:rsidP="00AD0E17">
      <w:pPr>
        <w:spacing w:after="0" w:line="240" w:lineRule="auto"/>
        <w:rPr>
          <w:rFonts w:ascii="Arial" w:eastAsia="Times New Roman" w:hAnsi="Arial" w:cs="Arial"/>
          <w:sz w:val="20"/>
          <w:szCs w:val="20"/>
          <w:lang w:eastAsia="pl-PL"/>
        </w:rPr>
      </w:pPr>
    </w:p>
    <w:p w:rsidR="00AD0E17" w:rsidRPr="00AD0E17" w:rsidRDefault="00AD0E17" w:rsidP="00AD0E17">
      <w:pPr>
        <w:spacing w:after="0" w:line="240" w:lineRule="auto"/>
        <w:rPr>
          <w:rFonts w:ascii="Arial" w:eastAsia="Times New Roman" w:hAnsi="Arial" w:cs="Arial"/>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2599"/>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Akcesoria anestezjologiczne</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"Rurka</w:t>
      </w:r>
      <w:proofErr w:type="spellEnd"/>
      <w:r w:rsidRPr="00AD0E17">
        <w:rPr>
          <w:rFonts w:ascii="Arial" w:eastAsia="Times New Roman" w:hAnsi="Arial" w:cs="Arial"/>
          <w:sz w:val="20"/>
          <w:szCs w:val="20"/>
          <w:lang w:eastAsia="pl-PL"/>
        </w:rPr>
        <w:t xml:space="preserve"> intubacyjna bez mankietu uszczelniającego, ze znacznikiem głębokości ,z oznaczeniem rozmiaru rurki na korpusie , skalowana co 1 cm., linia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na całej długości rurki, niebieski balonik kontrolny z oznaczeniem rozmiaru rurki, sterylna, jednorazowego użytku rozmiar 2.0 ; 2,5 ; 3.0 ; 3,5 ; 4.0 ; 4,5 ; 5.0 ;5,5 ; 6.0 ; 6,6 ; 7.0 " "rurka intubacyjna bez mankietu uszczelniającego, ze znacznikiem głębokości ,z oznaczeniem rozmiaru rurki na korpusie , skalowana co 1 cm., linia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na całej długości rurki, niebieski balonik kontrolny z oznaczeniem rozmiaru rurki, sterylna, jednorazowego użytku rozmiar 2.0 ; 2,5 ; 3.0 ; 3,5 ; 4.0 ; 4,5 ; 5.0 ;5,5 ; 6.0 ; 6,6 ; 7.0 " "Rurka intubacyjna z mankietem niskociśnieniowym, ze znacznikiem głębokości, z oznaczeniem rozmiaru rurki na korpusie, skalowana co 1 cm. , linia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na całej długości rurki, niebieski balonik kontrolny z oznaczeniem rozmiaru rurki, sterylna, jednorazowa, pakowana folia-papier, rozmiar 5.0; 5,5; 6.0 ; 6,5 ; 7.0 ; 7,5 ; 8.0 ; 8,5 ; 9.0 ; w zależności od zapotrzebowania zamawiającego " "Rurka intubacyjna zbrojona z mankietem niskociśnieniowym z prowadnicą lub bez prowadnicy w komplecie , ze znacznikiem głębokości, linia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na całej długości rurki, minimum dwa oznaczenia rozmiaru rurki na korpusie, sterylna, jednorazowa, pakowana folia-papier Rozmiar 7.0 ; 8.0" "Rurka </w:t>
      </w:r>
      <w:proofErr w:type="spellStart"/>
      <w:r w:rsidRPr="00AD0E17">
        <w:rPr>
          <w:rFonts w:ascii="Arial" w:eastAsia="Times New Roman" w:hAnsi="Arial" w:cs="Arial"/>
          <w:sz w:val="20"/>
          <w:szCs w:val="20"/>
          <w:lang w:eastAsia="pl-PL"/>
        </w:rPr>
        <w:t>Guedel</w:t>
      </w:r>
      <w:proofErr w:type="spellEnd"/>
      <w:r w:rsidRPr="00AD0E17">
        <w:rPr>
          <w:rFonts w:ascii="Arial" w:eastAsia="Times New Roman" w:hAnsi="Arial" w:cs="Arial"/>
          <w:sz w:val="20"/>
          <w:szCs w:val="20"/>
          <w:lang w:eastAsia="pl-PL"/>
        </w:rPr>
        <w:t xml:space="preserve"> – ustno-gardłowa, półprzezroczysta, rozmiar kodowany odpowiednim kolorem(3-żółty, 4-czerwony, 5-pomarańczowy) pakowana pojedynczo, sterylizowana tlenkiem etylenu, rozmiar 3, 4, 5 w zależności od zapotrzebowania zamawiającego " "sterylny adapter kompatybilny z zamkniętym systemem do odsysania, umożliwiający przeprowadzenie bronchofiberoskopii bez przerywania wentylacji pacjenta. Posiada zintegrowany podwójnie obrotowy łącznik, port do wprowadzenia bronchofiberoskopu, posiadający silikonową zastawkę wewnętrzną oraz silikonową zabezpieczającą nakładkę zapewniającą szczelność systemu" "maska twarzowa, jednorazowa, z otwartym mankietem, z drabinką na masce umożliwiającą pewny uchwyt, oznaczenie kolorystyczne w rozmiarach 3,4,5 w zależności od zapotrzebowania zamawiającego " "RURKA TRACHEOSTOMIJNA BEZ MANKIETU wykonana z termoplastycznego PCV , miękkie , gładkie ,przezroczyste skrzydełka szyldu , linia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na całej długości rurki, prowadnica w rurce, z łącznikiem 15 mm, dwie tasiemki do mocowania , bez lateksu ,bez </w:t>
      </w:r>
      <w:proofErr w:type="spellStart"/>
      <w:r w:rsidRPr="00AD0E17">
        <w:rPr>
          <w:rFonts w:ascii="Arial" w:eastAsia="Times New Roman" w:hAnsi="Arial" w:cs="Arial"/>
          <w:sz w:val="20"/>
          <w:szCs w:val="20"/>
          <w:lang w:eastAsia="pl-PL"/>
        </w:rPr>
        <w:t>ftalanów</w:t>
      </w:r>
      <w:proofErr w:type="spellEnd"/>
      <w:r w:rsidRPr="00AD0E17">
        <w:rPr>
          <w:rFonts w:ascii="Arial" w:eastAsia="Times New Roman" w:hAnsi="Arial" w:cs="Arial"/>
          <w:sz w:val="20"/>
          <w:szCs w:val="20"/>
          <w:lang w:eastAsia="pl-PL"/>
        </w:rPr>
        <w:t xml:space="preserve"> , sterylna , </w:t>
      </w:r>
      <w:proofErr w:type="spellStart"/>
      <w:r w:rsidRPr="00AD0E17">
        <w:rPr>
          <w:rFonts w:ascii="Arial" w:eastAsia="Times New Roman" w:hAnsi="Arial" w:cs="Arial"/>
          <w:sz w:val="20"/>
          <w:szCs w:val="20"/>
          <w:lang w:eastAsia="pl-PL"/>
        </w:rPr>
        <w:t>j.u</w:t>
      </w:r>
      <w:proofErr w:type="spellEnd"/>
      <w:r w:rsidRPr="00AD0E17">
        <w:rPr>
          <w:rFonts w:ascii="Arial" w:eastAsia="Times New Roman" w:hAnsi="Arial" w:cs="Arial"/>
          <w:sz w:val="20"/>
          <w:szCs w:val="20"/>
          <w:lang w:eastAsia="pl-PL"/>
        </w:rPr>
        <w:t xml:space="preserve">. Rozmiar : 5.0 ; 6.0 ; 7.0 ; 8.0 ; 9.0 w zależności od zapotrzebowania zamawiającego. " "RURKA TRACHEOSTOMIJNA Z MANKIETEM wykonana z termoplastycznego PVC , mankiet niskociśnieniowy, linia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na całej długości rurki , miękkie, gładkie, przezroczyste skrzydełka szyldu , prowadnica , dwie tasiemki do mocowania , balonik kontrolny znakowany rozmiarem rurki , bez lateksu , bez </w:t>
      </w:r>
      <w:proofErr w:type="spellStart"/>
      <w:r w:rsidRPr="00AD0E17">
        <w:rPr>
          <w:rFonts w:ascii="Arial" w:eastAsia="Times New Roman" w:hAnsi="Arial" w:cs="Arial"/>
          <w:sz w:val="20"/>
          <w:szCs w:val="20"/>
          <w:lang w:eastAsia="pl-PL"/>
        </w:rPr>
        <w:t>ftalanów</w:t>
      </w:r>
      <w:proofErr w:type="spellEnd"/>
      <w:r w:rsidRPr="00AD0E17">
        <w:rPr>
          <w:rFonts w:ascii="Arial" w:eastAsia="Times New Roman" w:hAnsi="Arial" w:cs="Arial"/>
          <w:sz w:val="20"/>
          <w:szCs w:val="20"/>
          <w:lang w:eastAsia="pl-PL"/>
        </w:rPr>
        <w:t xml:space="preserve"> , sterylna , jednorazowego użytku Rozmiar ; 5.0 ; 5.5 ; 6.0 ; 6.5 ; 7.0 ; 7.5 ; 8.0 ; 9.0 w zależności od zapotrzebowania zamawiającego "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33141200-2,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121"/>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2</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Prowadnice</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"PROWADNICA</w:t>
      </w:r>
      <w:proofErr w:type="spellEnd"/>
      <w:r w:rsidRPr="00AD0E17">
        <w:rPr>
          <w:rFonts w:ascii="Arial" w:eastAsia="Times New Roman" w:hAnsi="Arial" w:cs="Arial"/>
          <w:sz w:val="20"/>
          <w:szCs w:val="20"/>
          <w:lang w:eastAsia="pl-PL"/>
        </w:rPr>
        <w:t xml:space="preserve"> BOUGIE – do trudnej intubacji – wykonana z materiału o właściwościach poślizgowych , elastyczna , wzmocniona na całej długości , skalowana co 1cm , zagięty koniec, ułatwiający wprowadzenie , jałowa, jedno lub wielorazowa, Rozmiar : 5.0 / 60 cm " "prowadnica do rurek intubacyjnych, aluminiowa, pokryta PCV, z miękką końcówką, sterylna, jednorazowa, w minimum dwóch rozmiarach ; CH 06 dla rurek intubacyjnych nr 2,5 – 5.0 oraz CH 10 dla rurek 6.0 – 10.0"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33141240-4,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3521"/>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System do kontrolowanej zbiórki stolca</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"System</w:t>
      </w:r>
      <w:proofErr w:type="spellEnd"/>
      <w:r w:rsidRPr="00AD0E17">
        <w:rPr>
          <w:rFonts w:ascii="Arial" w:eastAsia="Times New Roman" w:hAnsi="Arial" w:cs="Arial"/>
          <w:sz w:val="20"/>
          <w:szCs w:val="20"/>
          <w:lang w:eastAsia="pl-PL"/>
        </w:rPr>
        <w:t xml:space="preserve"> do kontrolowanej zbiórki stolca , z technologią </w:t>
      </w:r>
      <w:proofErr w:type="spellStart"/>
      <w:r w:rsidRPr="00AD0E17">
        <w:rPr>
          <w:rFonts w:ascii="Arial" w:eastAsia="Times New Roman" w:hAnsi="Arial" w:cs="Arial"/>
          <w:sz w:val="20"/>
          <w:szCs w:val="20"/>
          <w:lang w:eastAsia="pl-PL"/>
        </w:rPr>
        <w:t>superabsorbentu</w:t>
      </w:r>
      <w:proofErr w:type="spellEnd"/>
      <w:r w:rsidRPr="00AD0E17">
        <w:rPr>
          <w:rFonts w:ascii="Arial" w:eastAsia="Times New Roman" w:hAnsi="Arial" w:cs="Arial"/>
          <w:sz w:val="20"/>
          <w:szCs w:val="20"/>
          <w:lang w:eastAsia="pl-PL"/>
        </w:rPr>
        <w:t xml:space="preserve">, posiadający ; -silikonowy cewnik z pierścieniem uszczelniającym o pojemności min. 45 ml. , -znacznik pozycyjny widoczny w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-część cewnika mająca bezpośredni kontakt z ciałem pacjenta wykonana z materiału o zwiększonym poślizgu po kontakcie z cieczą -port irygacyjny (kolor niebieski) -cewnik przezierny dla promieni </w:t>
      </w:r>
      <w:proofErr w:type="spellStart"/>
      <w:r w:rsidRPr="00AD0E17">
        <w:rPr>
          <w:rFonts w:ascii="Arial" w:eastAsia="Times New Roman" w:hAnsi="Arial" w:cs="Arial"/>
          <w:sz w:val="20"/>
          <w:szCs w:val="20"/>
          <w:lang w:eastAsia="pl-PL"/>
        </w:rPr>
        <w:t>rtg</w:t>
      </w:r>
      <w:proofErr w:type="spellEnd"/>
      <w:r w:rsidRPr="00AD0E17">
        <w:rPr>
          <w:rFonts w:ascii="Arial" w:eastAsia="Times New Roman" w:hAnsi="Arial" w:cs="Arial"/>
          <w:sz w:val="20"/>
          <w:szCs w:val="20"/>
          <w:lang w:eastAsia="pl-PL"/>
        </w:rPr>
        <w:t xml:space="preserve"> o długości 160 cm +/_ 5 cm minimalny czas użytkowania – 29 dni Wszystkie elementy trwale ze sobą połączone. Urządzenie nie zawiera lateksu. Zestaw zawiera : -minimum trzy worki o pojemności max 1500 ml., z wkładką z </w:t>
      </w:r>
      <w:proofErr w:type="spellStart"/>
      <w:r w:rsidRPr="00AD0E17">
        <w:rPr>
          <w:rFonts w:ascii="Arial" w:eastAsia="Times New Roman" w:hAnsi="Arial" w:cs="Arial"/>
          <w:sz w:val="20"/>
          <w:szCs w:val="20"/>
          <w:lang w:eastAsia="pl-PL"/>
        </w:rPr>
        <w:t>superabsorbentu</w:t>
      </w:r>
      <w:proofErr w:type="spellEnd"/>
      <w:r w:rsidRPr="00AD0E17">
        <w:rPr>
          <w:rFonts w:ascii="Arial" w:eastAsia="Times New Roman" w:hAnsi="Arial" w:cs="Arial"/>
          <w:sz w:val="20"/>
          <w:szCs w:val="20"/>
          <w:lang w:eastAsia="pl-PL"/>
        </w:rPr>
        <w:t xml:space="preserve">, wykonanego z </w:t>
      </w:r>
      <w:proofErr w:type="spellStart"/>
      <w:r w:rsidRPr="00AD0E17">
        <w:rPr>
          <w:rFonts w:ascii="Arial" w:eastAsia="Times New Roman" w:hAnsi="Arial" w:cs="Arial"/>
          <w:sz w:val="20"/>
          <w:szCs w:val="20"/>
          <w:lang w:eastAsia="pl-PL"/>
        </w:rPr>
        <w:t>polakrylanu</w:t>
      </w:r>
      <w:proofErr w:type="spellEnd"/>
      <w:r w:rsidRPr="00AD0E17">
        <w:rPr>
          <w:rFonts w:ascii="Arial" w:eastAsia="Times New Roman" w:hAnsi="Arial" w:cs="Arial"/>
          <w:sz w:val="20"/>
          <w:szCs w:val="20"/>
          <w:lang w:eastAsia="pl-PL"/>
        </w:rPr>
        <w:t xml:space="preserve"> sodu oraz filtra/</w:t>
      </w:r>
      <w:proofErr w:type="spellStart"/>
      <w:r w:rsidRPr="00AD0E17">
        <w:rPr>
          <w:rFonts w:ascii="Arial" w:eastAsia="Times New Roman" w:hAnsi="Arial" w:cs="Arial"/>
          <w:sz w:val="20"/>
          <w:szCs w:val="20"/>
          <w:lang w:eastAsia="pl-PL"/>
        </w:rPr>
        <w:t>wentula</w:t>
      </w:r>
      <w:proofErr w:type="spellEnd"/>
      <w:r w:rsidRPr="00AD0E17">
        <w:rPr>
          <w:rFonts w:ascii="Arial" w:eastAsia="Times New Roman" w:hAnsi="Arial" w:cs="Arial"/>
          <w:sz w:val="20"/>
          <w:szCs w:val="20"/>
          <w:lang w:eastAsia="pl-PL"/>
        </w:rPr>
        <w:t xml:space="preserve"> dezodoryzującego -podstawa do montowania do łóżka z nadającym się do czyszczenia plastikowym paskiem oraz centralna rurką obwodową - trzyczęściowa strzykawka z gumowym tłokiem o pojemności 45-50 ml. zacisk irygacyjny instrukcja w języku polskim" Worek do zbiórki stolca o pojemności 1500 ml kompatybilny z oferowanym systemem do kontrolowanej zbiórki stolca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33141000-0,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2254"/>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4</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Wentylacja nieinwazyjna</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"maska</w:t>
      </w:r>
      <w:proofErr w:type="spellEnd"/>
      <w:r w:rsidRPr="00AD0E17">
        <w:rPr>
          <w:rFonts w:ascii="Arial" w:eastAsia="Times New Roman" w:hAnsi="Arial" w:cs="Arial"/>
          <w:sz w:val="20"/>
          <w:szCs w:val="20"/>
          <w:lang w:eastAsia="pl-PL"/>
        </w:rPr>
        <w:t xml:space="preserve"> do wentylacji nieinwazyjnej AMARA ustno-nosowa, z uprzężą wyposażoną w klipsy, z możliwością zamontowania wymiennych poduszek silikonowych, bez portu wydechowego ,bez punktu wsparcia na grzbiecie nosa, klipsy uprzęży z paskami umożliwiającymi szybką regulację, z silikonową podporą czołową , z łącznikiem kolankowym obracającym się o 360 stopni, przeznaczona do kilkukrotnej sterylizacji " "Trener mięśni oddechowych </w:t>
      </w:r>
      <w:proofErr w:type="spellStart"/>
      <w:r w:rsidRPr="00AD0E17">
        <w:rPr>
          <w:rFonts w:ascii="Arial" w:eastAsia="Times New Roman" w:hAnsi="Arial" w:cs="Arial"/>
          <w:sz w:val="20"/>
          <w:szCs w:val="20"/>
          <w:lang w:eastAsia="pl-PL"/>
        </w:rPr>
        <w:t>Threshold</w:t>
      </w:r>
      <w:proofErr w:type="spellEnd"/>
      <w:r w:rsidRPr="00AD0E17">
        <w:rPr>
          <w:rFonts w:ascii="Arial" w:eastAsia="Times New Roman" w:hAnsi="Arial" w:cs="Arial"/>
          <w:sz w:val="20"/>
          <w:szCs w:val="20"/>
          <w:lang w:eastAsia="pl-PL"/>
        </w:rPr>
        <w:t xml:space="preserve"> IMT lub równoważny urządzenie do treningu wdechu; zapewnia stałe , określone ciśnienie umożliwiając ćwiczenie siły i wytrzymałości mięśni oddechowych niezależnie od szybkości oddychania przez chorego. Posiada jednokierunkowy zawór niezależny od przepływu oraz regulowane ustawienia wartości ciśnienia w cm H2O"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33140000-3,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254"/>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5</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Dreny Redon</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Dren</w:t>
      </w:r>
      <w:proofErr w:type="spellEnd"/>
      <w:r w:rsidRPr="00AD0E17">
        <w:rPr>
          <w:rFonts w:ascii="Arial" w:eastAsia="Times New Roman" w:hAnsi="Arial" w:cs="Arial"/>
          <w:sz w:val="20"/>
          <w:szCs w:val="20"/>
          <w:lang w:eastAsia="pl-PL"/>
        </w:rPr>
        <w:t xml:space="preserve"> Redon nr 10 dł. 700 do 750 mm, sterylny, wykonany z medycznej odmiany PCV o optymalnym współczynniku twardości , zapewniającym drożność drenu przy jednoczesnym zachowaniu wysokiego stopnia atraumatyczności, naprzemienna perforacja o długości 15 cm, zapobiegająca aspiracji i wrastaniu tkanek, specjalnie wyprofilowane</w:t>
      </w:r>
      <w:r>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t xml:space="preserve">atraumatyczne otwory drenujące, miękkie zakończenie drenu, pasek kontrastujący w RTG na całej długości drenu, czytnik głębokości co 1 cm w odległości 5 cm od zakończenia perforacji. Pakowany podwójnie papier folia Dren Redon nr 12 dł. 700 do 750 mm, sterylny, wykonany z medycznej odmiany PCV o optymalnym współczynniku twardości , zapewniającym </w:t>
      </w:r>
      <w:proofErr w:type="spellStart"/>
      <w:r w:rsidRPr="00AD0E17">
        <w:rPr>
          <w:rFonts w:ascii="Arial" w:eastAsia="Times New Roman" w:hAnsi="Arial" w:cs="Arial"/>
          <w:sz w:val="20"/>
          <w:szCs w:val="20"/>
          <w:lang w:eastAsia="pl-PL"/>
        </w:rPr>
        <w:t>drożnośc</w:t>
      </w:r>
      <w:proofErr w:type="spellEnd"/>
      <w:r w:rsidRPr="00AD0E17">
        <w:rPr>
          <w:rFonts w:ascii="Arial" w:eastAsia="Times New Roman" w:hAnsi="Arial" w:cs="Arial"/>
          <w:sz w:val="20"/>
          <w:szCs w:val="20"/>
          <w:lang w:eastAsia="pl-PL"/>
        </w:rPr>
        <w:t xml:space="preserve"> drenu przy jednoczesnym zachowaniu wysokiego stopnia atraumatyczności, naprzemienna perforacja o długości 15 cm, zapobiegająca aspiracji i wrastaniu tkanek, specjalnie wyprofilowane</w:t>
      </w:r>
      <w:r>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t>atraumatyczne otwory drenujące, miękkie zakończenie drenu, pasek kontrastujący w RTG na całej długości drenu, czytnik głębokości co 1 cm w odległości 5 cm od zakończenia perforacji. Pakowany podwójnie papier folia Dren Redon nr 14 dł. 700 do 750 mm, sterylny, wykonany z medycznej odmiany PCV o optymalnym współczynniku twardości , zapewniającym drożność</w:t>
      </w:r>
      <w:bookmarkStart w:id="0" w:name="_GoBack"/>
      <w:bookmarkEnd w:id="0"/>
      <w:r w:rsidRPr="00AD0E17">
        <w:rPr>
          <w:rFonts w:ascii="Arial" w:eastAsia="Times New Roman" w:hAnsi="Arial" w:cs="Arial"/>
          <w:sz w:val="20"/>
          <w:szCs w:val="20"/>
          <w:lang w:eastAsia="pl-PL"/>
        </w:rPr>
        <w:t xml:space="preserve"> drenu przy jednoczesnym zachowaniu wysokiego stopnia atraumatyczności, naprzemienna perforacja o długości 15 cm, zapobiegająca aspiracji i wrastaniu tkanek, specjalnie wyprofilowane</w:t>
      </w:r>
      <w:r>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t xml:space="preserve">atraumatyczne otwory drenujące, miękkie zakończenie drenu, pasek kontrastujący w RTG na całej długości drenu, czytnik głębokości co 1 cm w odległości 5 cm od zakończenia perforacji. Pakowany podwójnie papier folia Dren Redon nr 16 dł. 700 do 750 mm, sterylny, wykonany z medycznej odmiany PCV o optymalnym współczynniku twardości , zapewniającym </w:t>
      </w:r>
      <w:proofErr w:type="spellStart"/>
      <w:r w:rsidRPr="00AD0E17">
        <w:rPr>
          <w:rFonts w:ascii="Arial" w:eastAsia="Times New Roman" w:hAnsi="Arial" w:cs="Arial"/>
          <w:sz w:val="20"/>
          <w:szCs w:val="20"/>
          <w:lang w:eastAsia="pl-PL"/>
        </w:rPr>
        <w:t>drożnośc</w:t>
      </w:r>
      <w:proofErr w:type="spellEnd"/>
      <w:r w:rsidRPr="00AD0E17">
        <w:rPr>
          <w:rFonts w:ascii="Arial" w:eastAsia="Times New Roman" w:hAnsi="Arial" w:cs="Arial"/>
          <w:sz w:val="20"/>
          <w:szCs w:val="20"/>
          <w:lang w:eastAsia="pl-PL"/>
        </w:rPr>
        <w:t xml:space="preserve"> drenu przy jednoczesnym zachowaniu wysokiego stopnia atraumatyczności, naprzemienna perforacja o długości 15 cm, zapobiegająca aspiracji i wrastaniu tkanek, specjalnie </w:t>
      </w:r>
      <w:proofErr w:type="spellStart"/>
      <w:r w:rsidRPr="00AD0E17">
        <w:rPr>
          <w:rFonts w:ascii="Arial" w:eastAsia="Times New Roman" w:hAnsi="Arial" w:cs="Arial"/>
          <w:sz w:val="20"/>
          <w:szCs w:val="20"/>
          <w:lang w:eastAsia="pl-PL"/>
        </w:rPr>
        <w:t>wyprofilowaneatraumatyczne</w:t>
      </w:r>
      <w:proofErr w:type="spellEnd"/>
      <w:r w:rsidRPr="00AD0E17">
        <w:rPr>
          <w:rFonts w:ascii="Arial" w:eastAsia="Times New Roman" w:hAnsi="Arial" w:cs="Arial"/>
          <w:sz w:val="20"/>
          <w:szCs w:val="20"/>
          <w:lang w:eastAsia="pl-PL"/>
        </w:rPr>
        <w:t xml:space="preserve"> otwory drenujące, miękkie zakończenie drenu, pasek kontrastujący w RTG na całej długości drenu, czytnik głębokości co 1 cm w odległości 5 cm od zakończenia perforacji. Pakowany podwójnie papier folia Dren Redon nr 18 dł. 700 do 750 mm, sterylny, wykonany z medycznej odmiany PCV o optymalnym współczynniku twardości , zapewniającym </w:t>
      </w:r>
      <w:proofErr w:type="spellStart"/>
      <w:r w:rsidRPr="00AD0E17">
        <w:rPr>
          <w:rFonts w:ascii="Arial" w:eastAsia="Times New Roman" w:hAnsi="Arial" w:cs="Arial"/>
          <w:sz w:val="20"/>
          <w:szCs w:val="20"/>
          <w:lang w:eastAsia="pl-PL"/>
        </w:rPr>
        <w:t>drożnośc</w:t>
      </w:r>
      <w:proofErr w:type="spellEnd"/>
      <w:r w:rsidRPr="00AD0E17">
        <w:rPr>
          <w:rFonts w:ascii="Arial" w:eastAsia="Times New Roman" w:hAnsi="Arial" w:cs="Arial"/>
          <w:sz w:val="20"/>
          <w:szCs w:val="20"/>
          <w:lang w:eastAsia="pl-PL"/>
        </w:rPr>
        <w:t xml:space="preserve"> drenu przy jednoczesnym zachowaniu wysokiego stopnia atraumatyczności, naprzemienna perforacja o długości 15 cm, zapobiegająca aspiracji i wrastaniu tkanek, specjalnie </w:t>
      </w:r>
      <w:proofErr w:type="spellStart"/>
      <w:r w:rsidRPr="00AD0E17">
        <w:rPr>
          <w:rFonts w:ascii="Arial" w:eastAsia="Times New Roman" w:hAnsi="Arial" w:cs="Arial"/>
          <w:sz w:val="20"/>
          <w:szCs w:val="20"/>
          <w:lang w:eastAsia="pl-PL"/>
        </w:rPr>
        <w:t>wyprofilowaneatraumatyczne</w:t>
      </w:r>
      <w:proofErr w:type="spellEnd"/>
      <w:r w:rsidRPr="00AD0E17">
        <w:rPr>
          <w:rFonts w:ascii="Arial" w:eastAsia="Times New Roman" w:hAnsi="Arial" w:cs="Arial"/>
          <w:sz w:val="20"/>
          <w:szCs w:val="20"/>
          <w:lang w:eastAsia="pl-PL"/>
        </w:rPr>
        <w:t xml:space="preserve"> otwory drenujące, miękkie zakończenie drenu, pasek kontrastujący w RTG na całej długości drenu, czytnik głębokości co 1 cm w odległości 5 cm od zakończenia perforacji. Pakowany podwójnie papier folia Dren Redon nr 20 dł. 700 do 750 mm, sterylny, wykonany z medycznej odmiany PCV o optymalnym współczynniku twardości , zapewniającym </w:t>
      </w:r>
      <w:proofErr w:type="spellStart"/>
      <w:r w:rsidRPr="00AD0E17">
        <w:rPr>
          <w:rFonts w:ascii="Arial" w:eastAsia="Times New Roman" w:hAnsi="Arial" w:cs="Arial"/>
          <w:sz w:val="20"/>
          <w:szCs w:val="20"/>
          <w:lang w:eastAsia="pl-PL"/>
        </w:rPr>
        <w:t>drożnośc</w:t>
      </w:r>
      <w:proofErr w:type="spellEnd"/>
      <w:r w:rsidRPr="00AD0E17">
        <w:rPr>
          <w:rFonts w:ascii="Arial" w:eastAsia="Times New Roman" w:hAnsi="Arial" w:cs="Arial"/>
          <w:sz w:val="20"/>
          <w:szCs w:val="20"/>
          <w:lang w:eastAsia="pl-PL"/>
        </w:rPr>
        <w:t xml:space="preserve"> drenu przy jednoczesnym zachowaniu wysokiego stopnia atraumatyczności, naprzemienna perforacja o długości 15 cm, zapobiegająca aspiracji i wrastaniu tkanek, specjalnie </w:t>
      </w:r>
      <w:proofErr w:type="spellStart"/>
      <w:r w:rsidRPr="00AD0E17">
        <w:rPr>
          <w:rFonts w:ascii="Arial" w:eastAsia="Times New Roman" w:hAnsi="Arial" w:cs="Arial"/>
          <w:sz w:val="20"/>
          <w:szCs w:val="20"/>
          <w:lang w:eastAsia="pl-PL"/>
        </w:rPr>
        <w:t>wyprofilowaneatraumatyczne</w:t>
      </w:r>
      <w:proofErr w:type="spellEnd"/>
      <w:r w:rsidRPr="00AD0E17">
        <w:rPr>
          <w:rFonts w:ascii="Arial" w:eastAsia="Times New Roman" w:hAnsi="Arial" w:cs="Arial"/>
          <w:sz w:val="20"/>
          <w:szCs w:val="20"/>
          <w:lang w:eastAsia="pl-PL"/>
        </w:rPr>
        <w:t xml:space="preserve"> otwory drenujące, miękkie zakończenie drenu, pasek kontrastujący w RTG na całej długości drenu, czytnik głębokości co 1 cm w odległości 5 cm od zakończenia perforacji. Pakowany podwójnie papier folia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33141200-2,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576"/>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Worek </w:t>
            </w:r>
            <w:proofErr w:type="spellStart"/>
            <w:r w:rsidRPr="00AD0E17">
              <w:rPr>
                <w:rFonts w:ascii="Arial" w:eastAsia="Times New Roman" w:hAnsi="Arial" w:cs="Arial"/>
                <w:sz w:val="20"/>
                <w:szCs w:val="20"/>
                <w:lang w:eastAsia="pl-PL"/>
              </w:rPr>
              <w:t>Kangaroo</w:t>
            </w:r>
            <w:proofErr w:type="spellEnd"/>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Worek</w:t>
      </w:r>
      <w:proofErr w:type="spellEnd"/>
      <w:r w:rsidRPr="00AD0E17">
        <w:rPr>
          <w:rFonts w:ascii="Arial" w:eastAsia="Times New Roman" w:hAnsi="Arial" w:cs="Arial"/>
          <w:sz w:val="20"/>
          <w:szCs w:val="20"/>
          <w:lang w:eastAsia="pl-PL"/>
        </w:rPr>
        <w:t xml:space="preserve"> z zestawem </w:t>
      </w:r>
      <w:proofErr w:type="spellStart"/>
      <w:r w:rsidRPr="00AD0E17">
        <w:rPr>
          <w:rFonts w:ascii="Arial" w:eastAsia="Times New Roman" w:hAnsi="Arial" w:cs="Arial"/>
          <w:sz w:val="20"/>
          <w:szCs w:val="20"/>
          <w:lang w:eastAsia="pl-PL"/>
        </w:rPr>
        <w:t>Kangaroo</w:t>
      </w:r>
      <w:proofErr w:type="spellEnd"/>
      <w:r w:rsidRPr="00AD0E17">
        <w:rPr>
          <w:rFonts w:ascii="Arial" w:eastAsia="Times New Roman" w:hAnsi="Arial" w:cs="Arial"/>
          <w:sz w:val="20"/>
          <w:szCs w:val="20"/>
          <w:lang w:eastAsia="pl-PL"/>
        </w:rPr>
        <w:t xml:space="preserve"> do stosowania grawitacyjnego. Worek wyskalowany, z dużym wlewem od góry, zamykany korkiem, pojemność 1,0 - 1,5 litr. Wykonany z EVA. Zestaw składa się: komora kroplowa, zacisk rolkowy, dren elastyczny posiadający końcówki do podawania leków i płukania zgłębnika, kompatybilny z zgłębnikiem żołądkowym i PEG-</w:t>
      </w:r>
      <w:proofErr w:type="spellStart"/>
      <w:r w:rsidRPr="00AD0E17">
        <w:rPr>
          <w:rFonts w:ascii="Arial" w:eastAsia="Times New Roman" w:hAnsi="Arial" w:cs="Arial"/>
          <w:sz w:val="20"/>
          <w:szCs w:val="20"/>
          <w:lang w:eastAsia="pl-PL"/>
        </w:rPr>
        <w:t>iem</w:t>
      </w:r>
      <w:proofErr w:type="spellEnd"/>
      <w:r w:rsidRPr="00AD0E17">
        <w:rPr>
          <w:rFonts w:ascii="Arial" w:eastAsia="Times New Roman" w:hAnsi="Arial" w:cs="Arial"/>
          <w:sz w:val="20"/>
          <w:szCs w:val="20"/>
          <w:lang w:eastAsia="pl-PL"/>
        </w:rPr>
        <w:t xml:space="preserve">, nasadka ochronna na końcówkę, pakowany </w:t>
      </w:r>
      <w:proofErr w:type="spellStart"/>
      <w:r w:rsidRPr="00AD0E17">
        <w:rPr>
          <w:rFonts w:ascii="Arial" w:eastAsia="Times New Roman" w:hAnsi="Arial" w:cs="Arial"/>
          <w:sz w:val="20"/>
          <w:szCs w:val="20"/>
          <w:lang w:eastAsia="pl-PL"/>
        </w:rPr>
        <w:t>pojedyńczo</w:t>
      </w:r>
      <w:proofErr w:type="spellEnd"/>
      <w:r w:rsidRPr="00AD0E17">
        <w:rPr>
          <w:rFonts w:ascii="Arial" w:eastAsia="Times New Roman" w:hAnsi="Arial" w:cs="Arial"/>
          <w:sz w:val="20"/>
          <w:szCs w:val="20"/>
          <w:lang w:eastAsia="pl-PL"/>
        </w:rPr>
        <w:t xml:space="preserve">, sterylizowany (ważność 36 miesięcy), wykonany z PVC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33141000-0,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2120"/>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7</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Termometry medyczne</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"Termometry</w:t>
      </w:r>
      <w:proofErr w:type="spellEnd"/>
      <w:r w:rsidRPr="00AD0E17">
        <w:rPr>
          <w:rFonts w:ascii="Arial" w:eastAsia="Times New Roman" w:hAnsi="Arial" w:cs="Arial"/>
          <w:sz w:val="20"/>
          <w:szCs w:val="20"/>
          <w:lang w:eastAsia="pl-PL"/>
        </w:rPr>
        <w:t xml:space="preserve"> medyczne bezdotykowe, technologia podczerwieni, możliwość pomiaru temp. ciała i powierzchni. Dane techniczne: - normalne </w:t>
      </w:r>
      <w:proofErr w:type="spellStart"/>
      <w:r w:rsidRPr="00AD0E17">
        <w:rPr>
          <w:rFonts w:ascii="Arial" w:eastAsia="Times New Roman" w:hAnsi="Arial" w:cs="Arial"/>
          <w:sz w:val="20"/>
          <w:szCs w:val="20"/>
          <w:lang w:eastAsia="pl-PL"/>
        </w:rPr>
        <w:t>środowiski</w:t>
      </w:r>
      <w:proofErr w:type="spellEnd"/>
      <w:r w:rsidRPr="00AD0E17">
        <w:rPr>
          <w:rFonts w:ascii="Arial" w:eastAsia="Times New Roman" w:hAnsi="Arial" w:cs="Arial"/>
          <w:sz w:val="20"/>
          <w:szCs w:val="20"/>
          <w:lang w:eastAsia="pl-PL"/>
        </w:rPr>
        <w:t xml:space="preserve"> pracy: temperatura otoczenia: 10oC -40oC (50oF-104oF) -</w:t>
      </w:r>
      <w:proofErr w:type="spellStart"/>
      <w:r w:rsidRPr="00AD0E17">
        <w:rPr>
          <w:rFonts w:ascii="Arial" w:eastAsia="Times New Roman" w:hAnsi="Arial" w:cs="Arial"/>
          <w:sz w:val="20"/>
          <w:szCs w:val="20"/>
          <w:lang w:eastAsia="pl-PL"/>
        </w:rPr>
        <w:t>zasilamie</w:t>
      </w:r>
      <w:proofErr w:type="spellEnd"/>
      <w:r w:rsidRPr="00AD0E17">
        <w:rPr>
          <w:rFonts w:ascii="Arial" w:eastAsia="Times New Roman" w:hAnsi="Arial" w:cs="Arial"/>
          <w:sz w:val="20"/>
          <w:szCs w:val="20"/>
          <w:lang w:eastAsia="pl-PL"/>
        </w:rPr>
        <w:t xml:space="preserve"> : DC 3V (2 baterie AA) - dokładność wyświetlacza: 0,1oC (0,1oF) - zakres pomiaru: w trybie Ciało/Body: 32o C - 42,9oC (89,6o F - 109,2o F) w trybie temperatura powierzchni/Surface temp: 0oC - 60oC (32o F - 140o F) - precyzja : 32oC - 36oC (89,6o F - 96,8o F) = ± 0,3o C (± 0,6o F) 36oC - 39oC (96,8oF -102,2oF) = ± 0,3o C ( ±0,6oF) 39oC - 42,9oC (102,2oF - 109,2oF) = ±0,3oC ( ±0,6oF) - </w:t>
      </w:r>
      <w:proofErr w:type="spellStart"/>
      <w:r w:rsidRPr="00AD0E17">
        <w:rPr>
          <w:rFonts w:ascii="Arial" w:eastAsia="Times New Roman" w:hAnsi="Arial" w:cs="Arial"/>
          <w:sz w:val="20"/>
          <w:szCs w:val="20"/>
          <w:lang w:eastAsia="pl-PL"/>
        </w:rPr>
        <w:t>odległośćpomiarowa</w:t>
      </w:r>
      <w:proofErr w:type="spellEnd"/>
      <w:r w:rsidRPr="00AD0E17">
        <w:rPr>
          <w:rFonts w:ascii="Arial" w:eastAsia="Times New Roman" w:hAnsi="Arial" w:cs="Arial"/>
          <w:sz w:val="20"/>
          <w:szCs w:val="20"/>
          <w:lang w:eastAsia="pl-PL"/>
        </w:rPr>
        <w:t xml:space="preserve"> : 3 cm - 8 cm </w:t>
      </w:r>
      <w:proofErr w:type="spellStart"/>
      <w:r w:rsidRPr="00AD0E17">
        <w:rPr>
          <w:rFonts w:ascii="Arial" w:eastAsia="Times New Roman" w:hAnsi="Arial" w:cs="Arial"/>
          <w:sz w:val="20"/>
          <w:szCs w:val="20"/>
          <w:lang w:eastAsia="pl-PL"/>
        </w:rPr>
        <w:t>atomatyczne</w:t>
      </w:r>
      <w:proofErr w:type="spellEnd"/>
      <w:r w:rsidRPr="00AD0E17">
        <w:rPr>
          <w:rFonts w:ascii="Arial" w:eastAsia="Times New Roman" w:hAnsi="Arial" w:cs="Arial"/>
          <w:sz w:val="20"/>
          <w:szCs w:val="20"/>
          <w:lang w:eastAsia="pl-PL"/>
        </w:rPr>
        <w:t xml:space="preserve"> wyłączanie: od 5 do 30 sekund - </w:t>
      </w:r>
      <w:proofErr w:type="spellStart"/>
      <w:r w:rsidRPr="00AD0E17">
        <w:rPr>
          <w:rFonts w:ascii="Arial" w:eastAsia="Times New Roman" w:hAnsi="Arial" w:cs="Arial"/>
          <w:sz w:val="20"/>
          <w:szCs w:val="20"/>
          <w:lang w:eastAsia="pl-PL"/>
        </w:rPr>
        <w:t>żywotnoość</w:t>
      </w:r>
      <w:proofErr w:type="spellEnd"/>
      <w:r w:rsidRPr="00AD0E17">
        <w:rPr>
          <w:rFonts w:ascii="Arial" w:eastAsia="Times New Roman" w:hAnsi="Arial" w:cs="Arial"/>
          <w:sz w:val="20"/>
          <w:szCs w:val="20"/>
          <w:lang w:eastAsia="pl-PL"/>
        </w:rPr>
        <w:t xml:space="preserve"> do 40 000 pomiarów - czas pomiaru 1-5 sekund </w:t>
      </w:r>
      <w:proofErr w:type="spellStart"/>
      <w:r w:rsidRPr="00AD0E17">
        <w:rPr>
          <w:rFonts w:ascii="Arial" w:eastAsia="Times New Roman" w:hAnsi="Arial" w:cs="Arial"/>
          <w:sz w:val="20"/>
          <w:szCs w:val="20"/>
          <w:lang w:eastAsia="pl-PL"/>
        </w:rPr>
        <w:t>Standartowe</w:t>
      </w:r>
      <w:proofErr w:type="spellEnd"/>
      <w:r w:rsidRPr="00AD0E17">
        <w:rPr>
          <w:rFonts w:ascii="Arial" w:eastAsia="Times New Roman" w:hAnsi="Arial" w:cs="Arial"/>
          <w:sz w:val="20"/>
          <w:szCs w:val="20"/>
          <w:lang w:eastAsia="pl-PL"/>
        </w:rPr>
        <w:t xml:space="preserve"> wyposażenie: - instrukcja w języku polskim Okres gwarancji 2 lata"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38412000-6,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587"/>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8</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System </w:t>
            </w:r>
            <w:proofErr w:type="spellStart"/>
            <w:r w:rsidRPr="00AD0E17">
              <w:rPr>
                <w:rFonts w:ascii="Arial" w:eastAsia="Times New Roman" w:hAnsi="Arial" w:cs="Arial"/>
                <w:sz w:val="20"/>
                <w:szCs w:val="20"/>
                <w:lang w:eastAsia="pl-PL"/>
              </w:rPr>
              <w:t>RespiFlo</w:t>
            </w:r>
            <w:proofErr w:type="spellEnd"/>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Pojemnik</w:t>
      </w:r>
      <w:proofErr w:type="spellEnd"/>
      <w:r w:rsidRPr="00AD0E17">
        <w:rPr>
          <w:rFonts w:ascii="Arial" w:eastAsia="Times New Roman" w:hAnsi="Arial" w:cs="Arial"/>
          <w:sz w:val="20"/>
          <w:szCs w:val="20"/>
          <w:lang w:eastAsia="pl-PL"/>
        </w:rPr>
        <w:t xml:space="preserve"> </w:t>
      </w:r>
      <w:proofErr w:type="spellStart"/>
      <w:r w:rsidRPr="00AD0E17">
        <w:rPr>
          <w:rFonts w:ascii="Arial" w:eastAsia="Times New Roman" w:hAnsi="Arial" w:cs="Arial"/>
          <w:sz w:val="20"/>
          <w:szCs w:val="20"/>
          <w:lang w:eastAsia="pl-PL"/>
        </w:rPr>
        <w:t>Respiflo</w:t>
      </w:r>
      <w:proofErr w:type="spellEnd"/>
      <w:r w:rsidRPr="00AD0E17">
        <w:rPr>
          <w:rFonts w:ascii="Arial" w:eastAsia="Times New Roman" w:hAnsi="Arial" w:cs="Arial"/>
          <w:sz w:val="20"/>
          <w:szCs w:val="20"/>
          <w:lang w:eastAsia="pl-PL"/>
        </w:rPr>
        <w:t xml:space="preserve"> z wodą sterylną o pojemności 325 ml z </w:t>
      </w:r>
      <w:proofErr w:type="spellStart"/>
      <w:r w:rsidRPr="00AD0E17">
        <w:rPr>
          <w:rFonts w:ascii="Arial" w:eastAsia="Times New Roman" w:hAnsi="Arial" w:cs="Arial"/>
          <w:sz w:val="20"/>
          <w:szCs w:val="20"/>
          <w:lang w:eastAsia="pl-PL"/>
        </w:rPr>
        <w:t>adaptorem</w:t>
      </w:r>
      <w:proofErr w:type="spellEnd"/>
      <w:r w:rsidRPr="00AD0E17">
        <w:rPr>
          <w:rFonts w:ascii="Arial" w:eastAsia="Times New Roman" w:hAnsi="Arial" w:cs="Arial"/>
          <w:sz w:val="20"/>
          <w:szCs w:val="20"/>
          <w:lang w:eastAsia="pl-PL"/>
        </w:rPr>
        <w:t xml:space="preserve"> Dozownik rotametryczny do tlenu A-21/III, pojedynczy, kompatybilny do zamkniętego systemu nawilżania </w:t>
      </w:r>
      <w:proofErr w:type="spellStart"/>
      <w:r w:rsidRPr="00AD0E17">
        <w:rPr>
          <w:rFonts w:ascii="Arial" w:eastAsia="Times New Roman" w:hAnsi="Arial" w:cs="Arial"/>
          <w:sz w:val="20"/>
          <w:szCs w:val="20"/>
          <w:lang w:eastAsia="pl-PL"/>
        </w:rPr>
        <w:t>Resspiflo</w:t>
      </w:r>
      <w:proofErr w:type="spellEnd"/>
      <w:r w:rsidRPr="00AD0E17">
        <w:rPr>
          <w:rFonts w:ascii="Arial" w:eastAsia="Times New Roman" w:hAnsi="Arial" w:cs="Arial"/>
          <w:sz w:val="20"/>
          <w:szCs w:val="20"/>
          <w:lang w:eastAsia="pl-PL"/>
        </w:rPr>
        <w:t xml:space="preserve">. Zakres przepływu 1-15 litr/min, mocowany do punktu typ AGA lub DIN przystosowany do pojemników </w:t>
      </w:r>
      <w:proofErr w:type="spellStart"/>
      <w:r w:rsidRPr="00AD0E17">
        <w:rPr>
          <w:rFonts w:ascii="Arial" w:eastAsia="Times New Roman" w:hAnsi="Arial" w:cs="Arial"/>
          <w:sz w:val="20"/>
          <w:szCs w:val="20"/>
          <w:lang w:eastAsia="pl-PL"/>
        </w:rPr>
        <w:t>jedorazowych</w:t>
      </w:r>
      <w:proofErr w:type="spellEnd"/>
      <w:r w:rsidRPr="00AD0E17">
        <w:rPr>
          <w:rFonts w:ascii="Arial" w:eastAsia="Times New Roman" w:hAnsi="Arial" w:cs="Arial"/>
          <w:sz w:val="20"/>
          <w:szCs w:val="20"/>
          <w:lang w:eastAsia="pl-PL"/>
        </w:rPr>
        <w:t xml:space="preserve">, Możliwość podłączenia pojemnika </w:t>
      </w:r>
      <w:proofErr w:type="spellStart"/>
      <w:r w:rsidRPr="00AD0E17">
        <w:rPr>
          <w:rFonts w:ascii="Arial" w:eastAsia="Times New Roman" w:hAnsi="Arial" w:cs="Arial"/>
          <w:sz w:val="20"/>
          <w:szCs w:val="20"/>
          <w:lang w:eastAsia="pl-PL"/>
        </w:rPr>
        <w:t>respiflo</w:t>
      </w:r>
      <w:proofErr w:type="spellEnd"/>
      <w:r w:rsidRPr="00AD0E17">
        <w:rPr>
          <w:rFonts w:ascii="Arial" w:eastAsia="Times New Roman" w:hAnsi="Arial" w:cs="Arial"/>
          <w:sz w:val="20"/>
          <w:szCs w:val="20"/>
          <w:lang w:eastAsia="pl-PL"/>
        </w:rPr>
        <w:t xml:space="preserve"> -jednorazowego lub kompletu nawilżacza z butelką. Gwarancja min. 24 miesiące. Pojemnik nawilżacza wielorazowy do dozownika A-21/II Nawilżacz </w:t>
      </w:r>
      <w:proofErr w:type="spellStart"/>
      <w:r w:rsidRPr="00AD0E17">
        <w:rPr>
          <w:rFonts w:ascii="Arial" w:eastAsia="Times New Roman" w:hAnsi="Arial" w:cs="Arial"/>
          <w:sz w:val="20"/>
          <w:szCs w:val="20"/>
          <w:lang w:eastAsia="pl-PL"/>
        </w:rPr>
        <w:t>bąbelkujący</w:t>
      </w:r>
      <w:proofErr w:type="spellEnd"/>
      <w:r w:rsidRPr="00AD0E17">
        <w:rPr>
          <w:rFonts w:ascii="Arial" w:eastAsia="Times New Roman" w:hAnsi="Arial" w:cs="Arial"/>
          <w:sz w:val="20"/>
          <w:szCs w:val="20"/>
          <w:lang w:eastAsia="pl-PL"/>
        </w:rPr>
        <w:t xml:space="preserve"> HB- 2401 wyposażony w alarm bezpieczeństwa , kompatybilny z dozownikiem A-21/III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33141000-0,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4278"/>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9</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Klapki i spódniczki ginekologiczne jednorazowe</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Jednorazowe</w:t>
      </w:r>
      <w:proofErr w:type="spellEnd"/>
      <w:r w:rsidRPr="00AD0E17">
        <w:rPr>
          <w:rFonts w:ascii="Arial" w:eastAsia="Times New Roman" w:hAnsi="Arial" w:cs="Arial"/>
          <w:sz w:val="20"/>
          <w:szCs w:val="20"/>
          <w:lang w:eastAsia="pl-PL"/>
        </w:rPr>
        <w:t xml:space="preserve"> spódniczki ginekologiczne, z gumką, nieprześwitujące Jednorazowe klapki włókninowe, antypoślizgowe, z gumką Ochraniacze na obuwie włókninowe z wkładką antypoślizgową gramatura min 23 g/m2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33141000-0,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2343"/>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Akcesoria do fizykoterapii</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Elektrody</w:t>
      </w:r>
      <w:proofErr w:type="spellEnd"/>
      <w:r w:rsidRPr="00AD0E17">
        <w:rPr>
          <w:rFonts w:ascii="Arial" w:eastAsia="Times New Roman" w:hAnsi="Arial" w:cs="Arial"/>
          <w:sz w:val="20"/>
          <w:szCs w:val="20"/>
          <w:lang w:eastAsia="pl-PL"/>
        </w:rPr>
        <w:t xml:space="preserve"> silikonowe z 2 wejściami 6 x 12cm Podkłady do elektrod silikonowych 8x14cm Membrana trzyrzędowa - grzebień nr 8, kauczukowe membrany leczniczo-rehabilitacyjnego do aparatu AQUAWIBRON, który Zamawiający posiada Taśmy rehabilitacyjne </w:t>
      </w:r>
      <w:proofErr w:type="spellStart"/>
      <w:r w:rsidRPr="00AD0E17">
        <w:rPr>
          <w:rFonts w:ascii="Arial" w:eastAsia="Times New Roman" w:hAnsi="Arial" w:cs="Arial"/>
          <w:sz w:val="20"/>
          <w:szCs w:val="20"/>
          <w:lang w:eastAsia="pl-PL"/>
        </w:rPr>
        <w:t>Thera</w:t>
      </w:r>
      <w:proofErr w:type="spellEnd"/>
      <w:r w:rsidRPr="00AD0E17">
        <w:rPr>
          <w:rFonts w:ascii="Arial" w:eastAsia="Times New Roman" w:hAnsi="Arial" w:cs="Arial"/>
          <w:sz w:val="20"/>
          <w:szCs w:val="20"/>
          <w:lang w:eastAsia="pl-PL"/>
        </w:rPr>
        <w:t xml:space="preserve"> Band 5,5 m. Różne kolory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31711140-6,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AD0E17" w:rsidRPr="00AD0E17" w:rsidRDefault="00AD0E17" w:rsidP="00AD0E17">
      <w:pPr>
        <w:spacing w:after="24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6) INFORMACJE DODATKOWE:</w:t>
      </w:r>
      <w:r w:rsidRPr="00AD0E17">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2276"/>
      </w:tblGrid>
      <w:tr w:rsidR="00AD0E17" w:rsidRPr="00AD0E17" w:rsidTr="00AD0E17">
        <w:trPr>
          <w:tblCellSpacing w:w="15" w:type="dxa"/>
        </w:trPr>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Część nr: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11</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Nazwa: </w:t>
            </w:r>
          </w:p>
        </w:tc>
        <w:tc>
          <w:tcPr>
            <w:tcW w:w="0" w:type="auto"/>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Drobny sprzęt medyczny</w:t>
            </w:r>
          </w:p>
        </w:tc>
      </w:tr>
    </w:tbl>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b/>
          <w:bCs/>
          <w:sz w:val="20"/>
          <w:szCs w:val="20"/>
          <w:lang w:eastAsia="pl-PL"/>
        </w:rPr>
        <w:t xml:space="preserve">1) Krótki opis przedmiotu zamówienia </w:t>
      </w:r>
      <w:r w:rsidRPr="00AD0E17">
        <w:rPr>
          <w:rFonts w:ascii="Arial" w:eastAsia="Times New Roman" w:hAnsi="Arial" w:cs="Arial"/>
          <w:i/>
          <w:iCs/>
          <w:sz w:val="20"/>
          <w:szCs w:val="20"/>
          <w:lang w:eastAsia="pl-PL"/>
        </w:rPr>
        <w:t>(wielkość, zakres, rodzaj i ilość dostaw, usług lub robót budowlanych lub określenie zapotrzebowania i wymagań)</w:t>
      </w:r>
      <w:r w:rsidRPr="00AD0E17">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AD0E17">
        <w:rPr>
          <w:rFonts w:ascii="Arial" w:eastAsia="Times New Roman" w:hAnsi="Arial" w:cs="Arial"/>
          <w:b/>
          <w:bCs/>
          <w:sz w:val="20"/>
          <w:szCs w:val="20"/>
          <w:lang w:eastAsia="pl-PL"/>
        </w:rPr>
        <w:t>budowlane:</w:t>
      </w:r>
      <w:r w:rsidRPr="00AD0E17">
        <w:rPr>
          <w:rFonts w:ascii="Arial" w:eastAsia="Times New Roman" w:hAnsi="Arial" w:cs="Arial"/>
          <w:sz w:val="20"/>
          <w:szCs w:val="20"/>
          <w:lang w:eastAsia="pl-PL"/>
        </w:rPr>
        <w:t>Miski</w:t>
      </w:r>
      <w:proofErr w:type="spellEnd"/>
      <w:r w:rsidRPr="00AD0E17">
        <w:rPr>
          <w:rFonts w:ascii="Arial" w:eastAsia="Times New Roman" w:hAnsi="Arial" w:cs="Arial"/>
          <w:sz w:val="20"/>
          <w:szCs w:val="20"/>
          <w:lang w:eastAsia="pl-PL"/>
        </w:rPr>
        <w:t xml:space="preserve"> nerkowate plastikowe białe, długość od 20 do 25 cm Baseny sanitarny z tworzywa sztucznego z pokrywką. Kolor biały lub niebieski. Wielorazowego użytku, odporne na działanie preparatów dezynfekujących zawierające związki chloru i temperaturę do 100 stopni </w:t>
      </w:r>
      <w:proofErr w:type="spellStart"/>
      <w:r w:rsidRPr="00AD0E17">
        <w:rPr>
          <w:rFonts w:ascii="Arial" w:eastAsia="Times New Roman" w:hAnsi="Arial" w:cs="Arial"/>
          <w:sz w:val="20"/>
          <w:szCs w:val="20"/>
          <w:lang w:eastAsia="pl-PL"/>
        </w:rPr>
        <w:t>Celcjusza</w:t>
      </w:r>
      <w:proofErr w:type="spellEnd"/>
      <w:r w:rsidRPr="00AD0E17">
        <w:rPr>
          <w:rFonts w:ascii="Arial" w:eastAsia="Times New Roman" w:hAnsi="Arial" w:cs="Arial"/>
          <w:sz w:val="20"/>
          <w:szCs w:val="20"/>
          <w:lang w:eastAsia="pl-PL"/>
        </w:rPr>
        <w:t xml:space="preserve"> Kaczki sanitarne z </w:t>
      </w:r>
      <w:proofErr w:type="spellStart"/>
      <w:r w:rsidRPr="00AD0E17">
        <w:rPr>
          <w:rFonts w:ascii="Arial" w:eastAsia="Times New Roman" w:hAnsi="Arial" w:cs="Arial"/>
          <w:sz w:val="20"/>
          <w:szCs w:val="20"/>
          <w:lang w:eastAsia="pl-PL"/>
        </w:rPr>
        <w:t>polipropylenub</w:t>
      </w:r>
      <w:proofErr w:type="spellEnd"/>
      <w:r w:rsidRPr="00AD0E17">
        <w:rPr>
          <w:rFonts w:ascii="Arial" w:eastAsia="Times New Roman" w:hAnsi="Arial" w:cs="Arial"/>
          <w:sz w:val="20"/>
          <w:szCs w:val="20"/>
          <w:lang w:eastAsia="pl-PL"/>
        </w:rPr>
        <w:t xml:space="preserve"> męskie w zależności od </w:t>
      </w:r>
      <w:proofErr w:type="spellStart"/>
      <w:r w:rsidRPr="00AD0E17">
        <w:rPr>
          <w:rFonts w:ascii="Arial" w:eastAsia="Times New Roman" w:hAnsi="Arial" w:cs="Arial"/>
          <w:sz w:val="20"/>
          <w:szCs w:val="20"/>
          <w:lang w:eastAsia="pl-PL"/>
        </w:rPr>
        <w:t>zapotrzebowań</w:t>
      </w:r>
      <w:proofErr w:type="spellEnd"/>
      <w:r w:rsidRPr="00AD0E17">
        <w:rPr>
          <w:rFonts w:ascii="Arial" w:eastAsia="Times New Roman" w:hAnsi="Arial" w:cs="Arial"/>
          <w:sz w:val="20"/>
          <w:szCs w:val="20"/>
          <w:lang w:eastAsia="pl-PL"/>
        </w:rPr>
        <w:t xml:space="preserve"> Zamawiającego, z uchwytem do zawieszenia na łóżko. Z zamknięciem higienicznym, pojemność od 800 do 1200, z podziałką lub bez. Wielorazowego użytku, odporne na działanie preparatów dezynfekujących zawierające związki </w:t>
      </w:r>
      <w:proofErr w:type="spellStart"/>
      <w:r w:rsidRPr="00AD0E17">
        <w:rPr>
          <w:rFonts w:ascii="Arial" w:eastAsia="Times New Roman" w:hAnsi="Arial" w:cs="Arial"/>
          <w:sz w:val="20"/>
          <w:szCs w:val="20"/>
          <w:lang w:eastAsia="pl-PL"/>
        </w:rPr>
        <w:t>chlorui</w:t>
      </w:r>
      <w:proofErr w:type="spellEnd"/>
      <w:r w:rsidRPr="00AD0E17">
        <w:rPr>
          <w:rFonts w:ascii="Arial" w:eastAsia="Times New Roman" w:hAnsi="Arial" w:cs="Arial"/>
          <w:sz w:val="20"/>
          <w:szCs w:val="20"/>
          <w:lang w:eastAsia="pl-PL"/>
        </w:rPr>
        <w:t xml:space="preserve"> temperaturę do 100 stopni </w:t>
      </w:r>
      <w:proofErr w:type="spellStart"/>
      <w:r w:rsidRPr="00AD0E17">
        <w:rPr>
          <w:rFonts w:ascii="Arial" w:eastAsia="Times New Roman" w:hAnsi="Arial" w:cs="Arial"/>
          <w:sz w:val="20"/>
          <w:szCs w:val="20"/>
          <w:lang w:eastAsia="pl-PL"/>
        </w:rPr>
        <w:t>Celcjusza</w:t>
      </w:r>
      <w:proofErr w:type="spellEnd"/>
      <w:r w:rsidRPr="00AD0E17">
        <w:rPr>
          <w:rFonts w:ascii="Arial" w:eastAsia="Times New Roman" w:hAnsi="Arial" w:cs="Arial"/>
          <w:sz w:val="20"/>
          <w:szCs w:val="20"/>
          <w:lang w:eastAsia="pl-PL"/>
        </w:rPr>
        <w:t xml:space="preserve">. Kubek plastikowy - pojniki dla chorych, pojemność 200- 300 ml. W zestawie 2 pokrywki: z małym i dużym otworem.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2) Wspólny Słownik Zamówień(CPV): </w:t>
      </w:r>
      <w:r w:rsidRPr="00AD0E17">
        <w:rPr>
          <w:rFonts w:ascii="Arial" w:eastAsia="Times New Roman" w:hAnsi="Arial" w:cs="Arial"/>
          <w:sz w:val="20"/>
          <w:szCs w:val="20"/>
          <w:lang w:eastAsia="pl-PL"/>
        </w:rPr>
        <w:t xml:space="preserve">,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3) Wartość części zamówienia(jeżeli zamawiający podaje informacje o wartości zamówienia):</w:t>
      </w:r>
      <w:r w:rsidRPr="00AD0E17">
        <w:rPr>
          <w:rFonts w:ascii="Arial" w:eastAsia="Times New Roman" w:hAnsi="Arial" w:cs="Arial"/>
          <w:sz w:val="20"/>
          <w:szCs w:val="20"/>
          <w:lang w:eastAsia="pl-PL"/>
        </w:rPr>
        <w:br/>
        <w:t>Wartość bez VAT: 0,0</w:t>
      </w:r>
      <w:r w:rsidRPr="00AD0E17">
        <w:rPr>
          <w:rFonts w:ascii="Arial" w:eastAsia="Times New Roman" w:hAnsi="Arial" w:cs="Arial"/>
          <w:sz w:val="20"/>
          <w:szCs w:val="20"/>
          <w:lang w:eastAsia="pl-PL"/>
        </w:rPr>
        <w:br/>
        <w:t xml:space="preserve">Waluta: </w:t>
      </w:r>
      <w:r w:rsidRPr="00AD0E17">
        <w:rPr>
          <w:rFonts w:ascii="Arial" w:eastAsia="Times New Roman" w:hAnsi="Arial" w:cs="Arial"/>
          <w:sz w:val="20"/>
          <w:szCs w:val="20"/>
          <w:lang w:eastAsia="pl-PL"/>
        </w:rPr>
        <w:br/>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4) Czas trwania lub termin wykonania: </w:t>
      </w:r>
      <w:r w:rsidRPr="00AD0E17">
        <w:rPr>
          <w:rFonts w:ascii="Arial" w:eastAsia="Times New Roman" w:hAnsi="Arial" w:cs="Arial"/>
          <w:sz w:val="20"/>
          <w:szCs w:val="20"/>
          <w:lang w:eastAsia="pl-PL"/>
        </w:rPr>
        <w:br/>
        <w:t>okres w miesiącach: 12</w:t>
      </w:r>
      <w:r w:rsidRPr="00AD0E17">
        <w:rPr>
          <w:rFonts w:ascii="Arial" w:eastAsia="Times New Roman" w:hAnsi="Arial" w:cs="Arial"/>
          <w:sz w:val="20"/>
          <w:szCs w:val="20"/>
          <w:lang w:eastAsia="pl-PL"/>
        </w:rPr>
        <w:br/>
        <w:t xml:space="preserve">okres w dniach: </w:t>
      </w:r>
      <w:r w:rsidRPr="00AD0E17">
        <w:rPr>
          <w:rFonts w:ascii="Arial" w:eastAsia="Times New Roman" w:hAnsi="Arial" w:cs="Arial"/>
          <w:sz w:val="20"/>
          <w:szCs w:val="20"/>
          <w:lang w:eastAsia="pl-PL"/>
        </w:rPr>
        <w:br/>
        <w:t xml:space="preserve">data rozpoczęcia: </w:t>
      </w:r>
      <w:r w:rsidRPr="00AD0E17">
        <w:rPr>
          <w:rFonts w:ascii="Arial" w:eastAsia="Times New Roman" w:hAnsi="Arial" w:cs="Arial"/>
          <w:sz w:val="20"/>
          <w:szCs w:val="20"/>
          <w:lang w:eastAsia="pl-PL"/>
        </w:rPr>
        <w:br/>
        <w:t xml:space="preserve">data zakończenia: </w:t>
      </w:r>
      <w:r w:rsidRPr="00AD0E17">
        <w:rPr>
          <w:rFonts w:ascii="Arial" w:eastAsia="Times New Roman" w:hAnsi="Arial" w:cs="Arial"/>
          <w:sz w:val="20"/>
          <w:szCs w:val="20"/>
          <w:lang w:eastAsia="pl-PL"/>
        </w:rPr>
        <w:br/>
      </w:r>
      <w:r w:rsidRPr="00AD0E17">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Znaczenie</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60,00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30,00</w:t>
            </w:r>
          </w:p>
        </w:tc>
      </w:tr>
      <w:tr w:rsidR="00AD0E17" w:rsidRPr="00AD0E17" w:rsidTr="00AD0E17">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0E17" w:rsidRPr="00AD0E17" w:rsidRDefault="00AD0E17" w:rsidP="00AD0E17">
            <w:pPr>
              <w:spacing w:after="0" w:line="240" w:lineRule="auto"/>
              <w:rPr>
                <w:rFonts w:ascii="Arial" w:eastAsia="Times New Roman" w:hAnsi="Arial" w:cs="Arial"/>
                <w:sz w:val="20"/>
                <w:szCs w:val="20"/>
                <w:lang w:eastAsia="pl-PL"/>
              </w:rPr>
            </w:pPr>
            <w:r w:rsidRPr="00AD0E17">
              <w:rPr>
                <w:rFonts w:ascii="Arial" w:eastAsia="Times New Roman" w:hAnsi="Arial" w:cs="Arial"/>
                <w:sz w:val="20"/>
                <w:szCs w:val="20"/>
                <w:lang w:eastAsia="pl-PL"/>
              </w:rPr>
              <w:t>10,00</w:t>
            </w:r>
          </w:p>
        </w:tc>
      </w:tr>
    </w:tbl>
    <w:p w:rsidR="000D15E2" w:rsidRPr="00AD0E17" w:rsidRDefault="000D15E2" w:rsidP="00AD0E17">
      <w:pPr>
        <w:rPr>
          <w:rFonts w:ascii="Arial" w:hAnsi="Arial" w:cs="Arial"/>
          <w:sz w:val="20"/>
          <w:szCs w:val="20"/>
        </w:rPr>
      </w:pPr>
    </w:p>
    <w:sectPr w:rsidR="000D15E2" w:rsidRPr="00AD0E17" w:rsidSect="00AD0E17">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17"/>
    <w:rsid w:val="000D15E2"/>
    <w:rsid w:val="00AD0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02418">
      <w:bodyDiv w:val="1"/>
      <w:marLeft w:val="0"/>
      <w:marRight w:val="0"/>
      <w:marTop w:val="0"/>
      <w:marBottom w:val="0"/>
      <w:divBdr>
        <w:top w:val="none" w:sz="0" w:space="0" w:color="auto"/>
        <w:left w:val="none" w:sz="0" w:space="0" w:color="auto"/>
        <w:bottom w:val="none" w:sz="0" w:space="0" w:color="auto"/>
        <w:right w:val="none" w:sz="0" w:space="0" w:color="auto"/>
      </w:divBdr>
      <w:divsChild>
        <w:div w:id="7753613">
          <w:marLeft w:val="0"/>
          <w:marRight w:val="0"/>
          <w:marTop w:val="0"/>
          <w:marBottom w:val="0"/>
          <w:divBdr>
            <w:top w:val="none" w:sz="0" w:space="0" w:color="auto"/>
            <w:left w:val="none" w:sz="0" w:space="0" w:color="auto"/>
            <w:bottom w:val="none" w:sz="0" w:space="0" w:color="auto"/>
            <w:right w:val="none" w:sz="0" w:space="0" w:color="auto"/>
          </w:divBdr>
          <w:divsChild>
            <w:div w:id="268318904">
              <w:marLeft w:val="0"/>
              <w:marRight w:val="0"/>
              <w:marTop w:val="0"/>
              <w:marBottom w:val="0"/>
              <w:divBdr>
                <w:top w:val="none" w:sz="0" w:space="0" w:color="auto"/>
                <w:left w:val="none" w:sz="0" w:space="0" w:color="auto"/>
                <w:bottom w:val="none" w:sz="0" w:space="0" w:color="auto"/>
                <w:right w:val="none" w:sz="0" w:space="0" w:color="auto"/>
              </w:divBdr>
              <w:divsChild>
                <w:div w:id="1937445319">
                  <w:marLeft w:val="0"/>
                  <w:marRight w:val="0"/>
                  <w:marTop w:val="0"/>
                  <w:marBottom w:val="0"/>
                  <w:divBdr>
                    <w:top w:val="none" w:sz="0" w:space="0" w:color="auto"/>
                    <w:left w:val="none" w:sz="0" w:space="0" w:color="auto"/>
                    <w:bottom w:val="none" w:sz="0" w:space="0" w:color="auto"/>
                    <w:right w:val="none" w:sz="0" w:space="0" w:color="auto"/>
                  </w:divBdr>
                </w:div>
                <w:div w:id="2087219966">
                  <w:marLeft w:val="0"/>
                  <w:marRight w:val="0"/>
                  <w:marTop w:val="0"/>
                  <w:marBottom w:val="0"/>
                  <w:divBdr>
                    <w:top w:val="none" w:sz="0" w:space="0" w:color="auto"/>
                    <w:left w:val="none" w:sz="0" w:space="0" w:color="auto"/>
                    <w:bottom w:val="none" w:sz="0" w:space="0" w:color="auto"/>
                    <w:right w:val="none" w:sz="0" w:space="0" w:color="auto"/>
                  </w:divBdr>
                </w:div>
                <w:div w:id="1983852131">
                  <w:marLeft w:val="0"/>
                  <w:marRight w:val="0"/>
                  <w:marTop w:val="0"/>
                  <w:marBottom w:val="0"/>
                  <w:divBdr>
                    <w:top w:val="none" w:sz="0" w:space="0" w:color="auto"/>
                    <w:left w:val="none" w:sz="0" w:space="0" w:color="auto"/>
                    <w:bottom w:val="none" w:sz="0" w:space="0" w:color="auto"/>
                    <w:right w:val="none" w:sz="0" w:space="0" w:color="auto"/>
                  </w:divBdr>
                  <w:divsChild>
                    <w:div w:id="810943805">
                      <w:marLeft w:val="0"/>
                      <w:marRight w:val="0"/>
                      <w:marTop w:val="0"/>
                      <w:marBottom w:val="0"/>
                      <w:divBdr>
                        <w:top w:val="none" w:sz="0" w:space="0" w:color="auto"/>
                        <w:left w:val="none" w:sz="0" w:space="0" w:color="auto"/>
                        <w:bottom w:val="none" w:sz="0" w:space="0" w:color="auto"/>
                        <w:right w:val="none" w:sz="0" w:space="0" w:color="auto"/>
                      </w:divBdr>
                    </w:div>
                  </w:divsChild>
                </w:div>
                <w:div w:id="486674125">
                  <w:marLeft w:val="0"/>
                  <w:marRight w:val="0"/>
                  <w:marTop w:val="0"/>
                  <w:marBottom w:val="0"/>
                  <w:divBdr>
                    <w:top w:val="none" w:sz="0" w:space="0" w:color="auto"/>
                    <w:left w:val="none" w:sz="0" w:space="0" w:color="auto"/>
                    <w:bottom w:val="none" w:sz="0" w:space="0" w:color="auto"/>
                    <w:right w:val="none" w:sz="0" w:space="0" w:color="auto"/>
                  </w:divBdr>
                  <w:divsChild>
                    <w:div w:id="879242641">
                      <w:marLeft w:val="0"/>
                      <w:marRight w:val="0"/>
                      <w:marTop w:val="0"/>
                      <w:marBottom w:val="0"/>
                      <w:divBdr>
                        <w:top w:val="none" w:sz="0" w:space="0" w:color="auto"/>
                        <w:left w:val="none" w:sz="0" w:space="0" w:color="auto"/>
                        <w:bottom w:val="none" w:sz="0" w:space="0" w:color="auto"/>
                        <w:right w:val="none" w:sz="0" w:space="0" w:color="auto"/>
                      </w:divBdr>
                    </w:div>
                  </w:divsChild>
                </w:div>
                <w:div w:id="1269771587">
                  <w:marLeft w:val="0"/>
                  <w:marRight w:val="0"/>
                  <w:marTop w:val="0"/>
                  <w:marBottom w:val="0"/>
                  <w:divBdr>
                    <w:top w:val="none" w:sz="0" w:space="0" w:color="auto"/>
                    <w:left w:val="none" w:sz="0" w:space="0" w:color="auto"/>
                    <w:bottom w:val="none" w:sz="0" w:space="0" w:color="auto"/>
                    <w:right w:val="none" w:sz="0" w:space="0" w:color="auto"/>
                  </w:divBdr>
                  <w:divsChild>
                    <w:div w:id="1691100575">
                      <w:marLeft w:val="0"/>
                      <w:marRight w:val="0"/>
                      <w:marTop w:val="0"/>
                      <w:marBottom w:val="0"/>
                      <w:divBdr>
                        <w:top w:val="none" w:sz="0" w:space="0" w:color="auto"/>
                        <w:left w:val="none" w:sz="0" w:space="0" w:color="auto"/>
                        <w:bottom w:val="none" w:sz="0" w:space="0" w:color="auto"/>
                        <w:right w:val="none" w:sz="0" w:space="0" w:color="auto"/>
                      </w:divBdr>
                    </w:div>
                    <w:div w:id="1399405512">
                      <w:marLeft w:val="0"/>
                      <w:marRight w:val="0"/>
                      <w:marTop w:val="0"/>
                      <w:marBottom w:val="0"/>
                      <w:divBdr>
                        <w:top w:val="none" w:sz="0" w:space="0" w:color="auto"/>
                        <w:left w:val="none" w:sz="0" w:space="0" w:color="auto"/>
                        <w:bottom w:val="none" w:sz="0" w:space="0" w:color="auto"/>
                        <w:right w:val="none" w:sz="0" w:space="0" w:color="auto"/>
                      </w:divBdr>
                    </w:div>
                    <w:div w:id="2113817171">
                      <w:marLeft w:val="0"/>
                      <w:marRight w:val="0"/>
                      <w:marTop w:val="0"/>
                      <w:marBottom w:val="0"/>
                      <w:divBdr>
                        <w:top w:val="none" w:sz="0" w:space="0" w:color="auto"/>
                        <w:left w:val="none" w:sz="0" w:space="0" w:color="auto"/>
                        <w:bottom w:val="none" w:sz="0" w:space="0" w:color="auto"/>
                        <w:right w:val="none" w:sz="0" w:space="0" w:color="auto"/>
                      </w:divBdr>
                    </w:div>
                    <w:div w:id="1967005400">
                      <w:marLeft w:val="0"/>
                      <w:marRight w:val="0"/>
                      <w:marTop w:val="0"/>
                      <w:marBottom w:val="0"/>
                      <w:divBdr>
                        <w:top w:val="none" w:sz="0" w:space="0" w:color="auto"/>
                        <w:left w:val="none" w:sz="0" w:space="0" w:color="auto"/>
                        <w:bottom w:val="none" w:sz="0" w:space="0" w:color="auto"/>
                        <w:right w:val="none" w:sz="0" w:space="0" w:color="auto"/>
                      </w:divBdr>
                    </w:div>
                  </w:divsChild>
                </w:div>
                <w:div w:id="79257518">
                  <w:marLeft w:val="0"/>
                  <w:marRight w:val="0"/>
                  <w:marTop w:val="0"/>
                  <w:marBottom w:val="0"/>
                  <w:divBdr>
                    <w:top w:val="none" w:sz="0" w:space="0" w:color="auto"/>
                    <w:left w:val="none" w:sz="0" w:space="0" w:color="auto"/>
                    <w:bottom w:val="none" w:sz="0" w:space="0" w:color="auto"/>
                    <w:right w:val="none" w:sz="0" w:space="0" w:color="auto"/>
                  </w:divBdr>
                  <w:divsChild>
                    <w:div w:id="13964946">
                      <w:marLeft w:val="0"/>
                      <w:marRight w:val="0"/>
                      <w:marTop w:val="0"/>
                      <w:marBottom w:val="0"/>
                      <w:divBdr>
                        <w:top w:val="none" w:sz="0" w:space="0" w:color="auto"/>
                        <w:left w:val="none" w:sz="0" w:space="0" w:color="auto"/>
                        <w:bottom w:val="none" w:sz="0" w:space="0" w:color="auto"/>
                        <w:right w:val="none" w:sz="0" w:space="0" w:color="auto"/>
                      </w:divBdr>
                    </w:div>
                    <w:div w:id="1977252771">
                      <w:marLeft w:val="0"/>
                      <w:marRight w:val="0"/>
                      <w:marTop w:val="0"/>
                      <w:marBottom w:val="0"/>
                      <w:divBdr>
                        <w:top w:val="none" w:sz="0" w:space="0" w:color="auto"/>
                        <w:left w:val="none" w:sz="0" w:space="0" w:color="auto"/>
                        <w:bottom w:val="none" w:sz="0" w:space="0" w:color="auto"/>
                        <w:right w:val="none" w:sz="0" w:space="0" w:color="auto"/>
                      </w:divBdr>
                    </w:div>
                    <w:div w:id="1252545890">
                      <w:marLeft w:val="0"/>
                      <w:marRight w:val="0"/>
                      <w:marTop w:val="0"/>
                      <w:marBottom w:val="0"/>
                      <w:divBdr>
                        <w:top w:val="none" w:sz="0" w:space="0" w:color="auto"/>
                        <w:left w:val="none" w:sz="0" w:space="0" w:color="auto"/>
                        <w:bottom w:val="none" w:sz="0" w:space="0" w:color="auto"/>
                        <w:right w:val="none" w:sz="0" w:space="0" w:color="auto"/>
                      </w:divBdr>
                    </w:div>
                    <w:div w:id="1101878134">
                      <w:marLeft w:val="0"/>
                      <w:marRight w:val="0"/>
                      <w:marTop w:val="0"/>
                      <w:marBottom w:val="0"/>
                      <w:divBdr>
                        <w:top w:val="none" w:sz="0" w:space="0" w:color="auto"/>
                        <w:left w:val="none" w:sz="0" w:space="0" w:color="auto"/>
                        <w:bottom w:val="none" w:sz="0" w:space="0" w:color="auto"/>
                        <w:right w:val="none" w:sz="0" w:space="0" w:color="auto"/>
                      </w:divBdr>
                    </w:div>
                    <w:div w:id="2043283764">
                      <w:marLeft w:val="0"/>
                      <w:marRight w:val="0"/>
                      <w:marTop w:val="0"/>
                      <w:marBottom w:val="0"/>
                      <w:divBdr>
                        <w:top w:val="none" w:sz="0" w:space="0" w:color="auto"/>
                        <w:left w:val="none" w:sz="0" w:space="0" w:color="auto"/>
                        <w:bottom w:val="none" w:sz="0" w:space="0" w:color="auto"/>
                        <w:right w:val="none" w:sz="0" w:space="0" w:color="auto"/>
                      </w:divBdr>
                    </w:div>
                    <w:div w:id="188489348">
                      <w:marLeft w:val="0"/>
                      <w:marRight w:val="0"/>
                      <w:marTop w:val="0"/>
                      <w:marBottom w:val="0"/>
                      <w:divBdr>
                        <w:top w:val="none" w:sz="0" w:space="0" w:color="auto"/>
                        <w:left w:val="none" w:sz="0" w:space="0" w:color="auto"/>
                        <w:bottom w:val="none" w:sz="0" w:space="0" w:color="auto"/>
                        <w:right w:val="none" w:sz="0" w:space="0" w:color="auto"/>
                      </w:divBdr>
                    </w:div>
                    <w:div w:id="881675206">
                      <w:marLeft w:val="0"/>
                      <w:marRight w:val="0"/>
                      <w:marTop w:val="0"/>
                      <w:marBottom w:val="0"/>
                      <w:divBdr>
                        <w:top w:val="none" w:sz="0" w:space="0" w:color="auto"/>
                        <w:left w:val="none" w:sz="0" w:space="0" w:color="auto"/>
                        <w:bottom w:val="none" w:sz="0" w:space="0" w:color="auto"/>
                        <w:right w:val="none" w:sz="0" w:space="0" w:color="auto"/>
                      </w:divBdr>
                    </w:div>
                  </w:divsChild>
                </w:div>
                <w:div w:id="1053121857">
                  <w:marLeft w:val="0"/>
                  <w:marRight w:val="0"/>
                  <w:marTop w:val="0"/>
                  <w:marBottom w:val="0"/>
                  <w:divBdr>
                    <w:top w:val="none" w:sz="0" w:space="0" w:color="auto"/>
                    <w:left w:val="none" w:sz="0" w:space="0" w:color="auto"/>
                    <w:bottom w:val="none" w:sz="0" w:space="0" w:color="auto"/>
                    <w:right w:val="none" w:sz="0" w:space="0" w:color="auto"/>
                  </w:divBdr>
                  <w:divsChild>
                    <w:div w:id="877664803">
                      <w:marLeft w:val="0"/>
                      <w:marRight w:val="0"/>
                      <w:marTop w:val="0"/>
                      <w:marBottom w:val="0"/>
                      <w:divBdr>
                        <w:top w:val="none" w:sz="0" w:space="0" w:color="auto"/>
                        <w:left w:val="none" w:sz="0" w:space="0" w:color="auto"/>
                        <w:bottom w:val="none" w:sz="0" w:space="0" w:color="auto"/>
                        <w:right w:val="none" w:sz="0" w:space="0" w:color="auto"/>
                      </w:divBdr>
                    </w:div>
                    <w:div w:id="1967924431">
                      <w:marLeft w:val="0"/>
                      <w:marRight w:val="0"/>
                      <w:marTop w:val="0"/>
                      <w:marBottom w:val="0"/>
                      <w:divBdr>
                        <w:top w:val="none" w:sz="0" w:space="0" w:color="auto"/>
                        <w:left w:val="none" w:sz="0" w:space="0" w:color="auto"/>
                        <w:bottom w:val="none" w:sz="0" w:space="0" w:color="auto"/>
                        <w:right w:val="none" w:sz="0" w:space="0" w:color="auto"/>
                      </w:divBdr>
                    </w:div>
                  </w:divsChild>
                </w:div>
                <w:div w:id="1387559984">
                  <w:marLeft w:val="0"/>
                  <w:marRight w:val="0"/>
                  <w:marTop w:val="0"/>
                  <w:marBottom w:val="0"/>
                  <w:divBdr>
                    <w:top w:val="none" w:sz="0" w:space="0" w:color="auto"/>
                    <w:left w:val="none" w:sz="0" w:space="0" w:color="auto"/>
                    <w:bottom w:val="none" w:sz="0" w:space="0" w:color="auto"/>
                    <w:right w:val="none" w:sz="0" w:space="0" w:color="auto"/>
                  </w:divBdr>
                  <w:divsChild>
                    <w:div w:id="596521680">
                      <w:marLeft w:val="0"/>
                      <w:marRight w:val="0"/>
                      <w:marTop w:val="0"/>
                      <w:marBottom w:val="0"/>
                      <w:divBdr>
                        <w:top w:val="none" w:sz="0" w:space="0" w:color="auto"/>
                        <w:left w:val="none" w:sz="0" w:space="0" w:color="auto"/>
                        <w:bottom w:val="none" w:sz="0" w:space="0" w:color="auto"/>
                        <w:right w:val="none" w:sz="0" w:space="0" w:color="auto"/>
                      </w:divBdr>
                    </w:div>
                    <w:div w:id="1791778192">
                      <w:marLeft w:val="0"/>
                      <w:marRight w:val="0"/>
                      <w:marTop w:val="0"/>
                      <w:marBottom w:val="0"/>
                      <w:divBdr>
                        <w:top w:val="none" w:sz="0" w:space="0" w:color="auto"/>
                        <w:left w:val="none" w:sz="0" w:space="0" w:color="auto"/>
                        <w:bottom w:val="none" w:sz="0" w:space="0" w:color="auto"/>
                        <w:right w:val="none" w:sz="0" w:space="0" w:color="auto"/>
                      </w:divBdr>
                    </w:div>
                    <w:div w:id="2040009743">
                      <w:marLeft w:val="0"/>
                      <w:marRight w:val="0"/>
                      <w:marTop w:val="0"/>
                      <w:marBottom w:val="0"/>
                      <w:divBdr>
                        <w:top w:val="none" w:sz="0" w:space="0" w:color="auto"/>
                        <w:left w:val="none" w:sz="0" w:space="0" w:color="auto"/>
                        <w:bottom w:val="none" w:sz="0" w:space="0" w:color="auto"/>
                        <w:right w:val="none" w:sz="0" w:space="0" w:color="auto"/>
                      </w:divBdr>
                    </w:div>
                    <w:div w:id="2137484957">
                      <w:marLeft w:val="0"/>
                      <w:marRight w:val="0"/>
                      <w:marTop w:val="0"/>
                      <w:marBottom w:val="0"/>
                      <w:divBdr>
                        <w:top w:val="none" w:sz="0" w:space="0" w:color="auto"/>
                        <w:left w:val="none" w:sz="0" w:space="0" w:color="auto"/>
                        <w:bottom w:val="none" w:sz="0" w:space="0" w:color="auto"/>
                        <w:right w:val="none" w:sz="0" w:space="0" w:color="auto"/>
                      </w:divBdr>
                    </w:div>
                    <w:div w:id="938638275">
                      <w:marLeft w:val="0"/>
                      <w:marRight w:val="0"/>
                      <w:marTop w:val="0"/>
                      <w:marBottom w:val="0"/>
                      <w:divBdr>
                        <w:top w:val="none" w:sz="0" w:space="0" w:color="auto"/>
                        <w:left w:val="none" w:sz="0" w:space="0" w:color="auto"/>
                        <w:bottom w:val="none" w:sz="0" w:space="0" w:color="auto"/>
                        <w:right w:val="none" w:sz="0" w:space="0" w:color="auto"/>
                      </w:divBdr>
                    </w:div>
                    <w:div w:id="611471272">
                      <w:marLeft w:val="0"/>
                      <w:marRight w:val="0"/>
                      <w:marTop w:val="0"/>
                      <w:marBottom w:val="0"/>
                      <w:divBdr>
                        <w:top w:val="none" w:sz="0" w:space="0" w:color="auto"/>
                        <w:left w:val="none" w:sz="0" w:space="0" w:color="auto"/>
                        <w:bottom w:val="none" w:sz="0" w:space="0" w:color="auto"/>
                        <w:right w:val="none" w:sz="0" w:space="0" w:color="auto"/>
                      </w:divBdr>
                    </w:div>
                    <w:div w:id="2023167737">
                      <w:marLeft w:val="0"/>
                      <w:marRight w:val="0"/>
                      <w:marTop w:val="0"/>
                      <w:marBottom w:val="0"/>
                      <w:divBdr>
                        <w:top w:val="none" w:sz="0" w:space="0" w:color="auto"/>
                        <w:left w:val="none" w:sz="0" w:space="0" w:color="auto"/>
                        <w:bottom w:val="none" w:sz="0" w:space="0" w:color="auto"/>
                        <w:right w:val="none" w:sz="0" w:space="0" w:color="auto"/>
                      </w:divBdr>
                    </w:div>
                  </w:divsChild>
                </w:div>
                <w:div w:id="2077242018">
                  <w:marLeft w:val="0"/>
                  <w:marRight w:val="0"/>
                  <w:marTop w:val="0"/>
                  <w:marBottom w:val="0"/>
                  <w:divBdr>
                    <w:top w:val="none" w:sz="0" w:space="0" w:color="auto"/>
                    <w:left w:val="none" w:sz="0" w:space="0" w:color="auto"/>
                    <w:bottom w:val="none" w:sz="0" w:space="0" w:color="auto"/>
                    <w:right w:val="none" w:sz="0" w:space="0" w:color="auto"/>
                  </w:divBdr>
                  <w:divsChild>
                    <w:div w:id="2054188930">
                      <w:marLeft w:val="0"/>
                      <w:marRight w:val="0"/>
                      <w:marTop w:val="0"/>
                      <w:marBottom w:val="0"/>
                      <w:divBdr>
                        <w:top w:val="none" w:sz="0" w:space="0" w:color="auto"/>
                        <w:left w:val="none" w:sz="0" w:space="0" w:color="auto"/>
                        <w:bottom w:val="none" w:sz="0" w:space="0" w:color="auto"/>
                        <w:right w:val="none" w:sz="0" w:space="0" w:color="auto"/>
                      </w:divBdr>
                    </w:div>
                    <w:div w:id="2016378687">
                      <w:marLeft w:val="0"/>
                      <w:marRight w:val="0"/>
                      <w:marTop w:val="0"/>
                      <w:marBottom w:val="0"/>
                      <w:divBdr>
                        <w:top w:val="none" w:sz="0" w:space="0" w:color="auto"/>
                        <w:left w:val="none" w:sz="0" w:space="0" w:color="auto"/>
                        <w:bottom w:val="none" w:sz="0" w:space="0" w:color="auto"/>
                        <w:right w:val="none" w:sz="0" w:space="0" w:color="auto"/>
                      </w:divBdr>
                    </w:div>
                    <w:div w:id="971011748">
                      <w:marLeft w:val="0"/>
                      <w:marRight w:val="0"/>
                      <w:marTop w:val="0"/>
                      <w:marBottom w:val="0"/>
                      <w:divBdr>
                        <w:top w:val="none" w:sz="0" w:space="0" w:color="auto"/>
                        <w:left w:val="none" w:sz="0" w:space="0" w:color="auto"/>
                        <w:bottom w:val="none" w:sz="0" w:space="0" w:color="auto"/>
                        <w:right w:val="none" w:sz="0" w:space="0" w:color="auto"/>
                      </w:divBdr>
                    </w:div>
                    <w:div w:id="772897062">
                      <w:marLeft w:val="0"/>
                      <w:marRight w:val="0"/>
                      <w:marTop w:val="0"/>
                      <w:marBottom w:val="0"/>
                      <w:divBdr>
                        <w:top w:val="none" w:sz="0" w:space="0" w:color="auto"/>
                        <w:left w:val="none" w:sz="0" w:space="0" w:color="auto"/>
                        <w:bottom w:val="none" w:sz="0" w:space="0" w:color="auto"/>
                        <w:right w:val="none" w:sz="0" w:space="0" w:color="auto"/>
                      </w:divBdr>
                    </w:div>
                    <w:div w:id="1080566093">
                      <w:marLeft w:val="0"/>
                      <w:marRight w:val="0"/>
                      <w:marTop w:val="0"/>
                      <w:marBottom w:val="0"/>
                      <w:divBdr>
                        <w:top w:val="none" w:sz="0" w:space="0" w:color="auto"/>
                        <w:left w:val="none" w:sz="0" w:space="0" w:color="auto"/>
                        <w:bottom w:val="none" w:sz="0" w:space="0" w:color="auto"/>
                        <w:right w:val="none" w:sz="0" w:space="0" w:color="auto"/>
                      </w:divBdr>
                    </w:div>
                    <w:div w:id="185994293">
                      <w:marLeft w:val="0"/>
                      <w:marRight w:val="0"/>
                      <w:marTop w:val="0"/>
                      <w:marBottom w:val="0"/>
                      <w:divBdr>
                        <w:top w:val="none" w:sz="0" w:space="0" w:color="auto"/>
                        <w:left w:val="none" w:sz="0" w:space="0" w:color="auto"/>
                        <w:bottom w:val="none" w:sz="0" w:space="0" w:color="auto"/>
                        <w:right w:val="none" w:sz="0" w:space="0" w:color="auto"/>
                      </w:divBdr>
                    </w:div>
                    <w:div w:id="1791901700">
                      <w:marLeft w:val="0"/>
                      <w:marRight w:val="0"/>
                      <w:marTop w:val="0"/>
                      <w:marBottom w:val="0"/>
                      <w:divBdr>
                        <w:top w:val="none" w:sz="0" w:space="0" w:color="auto"/>
                        <w:left w:val="none" w:sz="0" w:space="0" w:color="auto"/>
                        <w:bottom w:val="none" w:sz="0" w:space="0" w:color="auto"/>
                        <w:right w:val="none" w:sz="0" w:space="0" w:color="auto"/>
                      </w:divBdr>
                    </w:div>
                    <w:div w:id="2041514468">
                      <w:marLeft w:val="0"/>
                      <w:marRight w:val="0"/>
                      <w:marTop w:val="0"/>
                      <w:marBottom w:val="0"/>
                      <w:divBdr>
                        <w:top w:val="none" w:sz="0" w:space="0" w:color="auto"/>
                        <w:left w:val="none" w:sz="0" w:space="0" w:color="auto"/>
                        <w:bottom w:val="none" w:sz="0" w:space="0" w:color="auto"/>
                        <w:right w:val="none" w:sz="0" w:space="0" w:color="auto"/>
                      </w:divBdr>
                    </w:div>
                  </w:divsChild>
                </w:div>
                <w:div w:id="1274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6837</Words>
  <Characters>41028</Characters>
  <Application>Microsoft Office Word</Application>
  <DocSecurity>0</DocSecurity>
  <Lines>341</Lines>
  <Paragraphs>95</Paragraphs>
  <ScaleCrop>false</ScaleCrop>
  <Company>Microsoft</Company>
  <LinksUpToDate>false</LinksUpToDate>
  <CharactersWithSpaces>47770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2017-07-11T08:04:00Z</dcterms:created>
  <dcterms:modified xsi:type="dcterms:W3CDTF">2017-07-11T08:07:00Z</dcterms:modified>
</cp:coreProperties>
</file>